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9FBDF">
      <w:pPr>
        <w:spacing w:line="560" w:lineRule="exact"/>
        <w:jc w:val="center"/>
        <w:rPr>
          <w:b w:val="0"/>
          <w:bCs w:val="0"/>
          <w:sz w:val="44"/>
          <w:szCs w:val="44"/>
        </w:rPr>
      </w:pPr>
      <w:r>
        <w:rPr>
          <w:rFonts w:hint="eastAsia"/>
          <w:b w:val="0"/>
          <w:bCs w:val="0"/>
          <w:sz w:val="44"/>
          <w:szCs w:val="44"/>
        </w:rPr>
        <w:t>常州工业职业技术学院</w:t>
      </w:r>
    </w:p>
    <w:p w14:paraId="2822C186">
      <w:pPr>
        <w:spacing w:line="560" w:lineRule="exact"/>
        <w:jc w:val="center"/>
        <w:rPr>
          <w:rFonts w:hint="eastAsia"/>
          <w:b w:val="0"/>
          <w:bCs w:val="0"/>
          <w:color w:val="auto"/>
          <w:sz w:val="44"/>
          <w:szCs w:val="44"/>
        </w:rPr>
      </w:pPr>
      <w:r>
        <w:rPr>
          <w:rFonts w:hint="eastAsia"/>
          <w:b w:val="0"/>
          <w:bCs w:val="0"/>
          <w:sz w:val="44"/>
          <w:szCs w:val="44"/>
        </w:rPr>
        <w:t>奖励性绩效工资分配办法</w:t>
      </w:r>
      <w:r>
        <w:rPr>
          <w:rFonts w:hint="eastAsia"/>
          <w:b w:val="0"/>
          <w:bCs w:val="0"/>
          <w:color w:val="auto"/>
          <w:sz w:val="44"/>
          <w:szCs w:val="44"/>
        </w:rPr>
        <w:t>（修订）</w:t>
      </w:r>
    </w:p>
    <w:p w14:paraId="1478E2C3">
      <w:pPr>
        <w:spacing w:line="560" w:lineRule="exact"/>
        <w:jc w:val="center"/>
        <w:rPr>
          <w:rFonts w:hint="eastAsia" w:eastAsia="宋体"/>
          <w:b w:val="0"/>
          <w:bCs w:val="0"/>
          <w:color w:val="auto"/>
          <w:sz w:val="44"/>
          <w:szCs w:val="44"/>
          <w:lang w:eastAsia="zh-CN"/>
        </w:rPr>
      </w:pPr>
      <w:r>
        <w:rPr>
          <w:rFonts w:hint="eastAsia"/>
          <w:b w:val="0"/>
          <w:bCs w:val="0"/>
          <w:color w:val="auto"/>
          <w:sz w:val="44"/>
          <w:szCs w:val="44"/>
          <w:lang w:eastAsia="zh-CN"/>
        </w:rPr>
        <w:t>征求意见稿</w:t>
      </w:r>
      <w:bookmarkStart w:id="2" w:name="_GoBack"/>
      <w:bookmarkEnd w:id="2"/>
    </w:p>
    <w:p w14:paraId="3DC887A7">
      <w:pPr>
        <w:spacing w:line="560" w:lineRule="exact"/>
        <w:ind w:firstLine="640" w:firstLineChars="200"/>
        <w:rPr>
          <w:rFonts w:ascii="仿宋" w:hAnsi="仿宋" w:eastAsia="仿宋"/>
          <w:b w:val="0"/>
          <w:bCs w:val="0"/>
          <w:sz w:val="32"/>
          <w:szCs w:val="32"/>
        </w:rPr>
      </w:pPr>
    </w:p>
    <w:p w14:paraId="65C05926">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为进一步深化学校收入分配制度改革，充分发挥绩效工资的激励导向作用，激发人才活力，调动广大教职工的积极性，根据《江苏省其他事业单位绩效工资实施意见》（苏人社发〔2011〕158号）《关于印发省直其他事业单位绩效工资实施办法的通知》</w:t>
      </w:r>
      <w:bookmarkStart w:id="0" w:name="OLE_LINK2"/>
      <w:bookmarkStart w:id="1" w:name="OLE_LINK1"/>
      <w:r>
        <w:rPr>
          <w:rFonts w:hint="eastAsia" w:ascii="仿宋" w:hAnsi="仿宋" w:eastAsia="仿宋" w:cs="仿宋"/>
          <w:b w:val="0"/>
          <w:bCs w:val="0"/>
          <w:sz w:val="32"/>
          <w:szCs w:val="32"/>
        </w:rPr>
        <w:t>（苏人社发〔2012〕142号）</w:t>
      </w:r>
      <w:bookmarkEnd w:id="0"/>
      <w:bookmarkEnd w:id="1"/>
      <w:r>
        <w:rPr>
          <w:rFonts w:hint="eastAsia" w:ascii="仿宋" w:hAnsi="仿宋" w:eastAsia="仿宋" w:cs="仿宋"/>
          <w:b w:val="0"/>
          <w:bCs w:val="0"/>
          <w:sz w:val="32"/>
          <w:szCs w:val="32"/>
        </w:rPr>
        <w:t>《关于省直其他事业单位实施绩效工资若干具体问题的处理意见》（苏人社发〔2012〕154号）《省教育厅关于印发〈江苏省高等学校绩效考核工作指导意见〉的通知》（苏教规〔2012〕7号）《中共江苏省委 江苏省人民政府印发〈关于深化科技体制机制改革推动高质量发展若干政策〉的通知》（苏发〔2018〕18号）《省教育厅关于印发贯彻落实省委省政府深化科技体制机制改革推动高质量发展若干政策实施细则的通知》（苏教科〔2018〕9号）等文件精神，结合学校实际，修订常州工业职业技术学院奖励性绩效工资分配办法。</w:t>
      </w:r>
    </w:p>
    <w:p w14:paraId="684D2BBB">
      <w:pPr>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一、指导思想</w:t>
      </w:r>
    </w:p>
    <w:p w14:paraId="47B31BB7">
      <w:pPr>
        <w:spacing w:line="560" w:lineRule="exact"/>
        <w:ind w:firstLine="640" w:firstLineChars="200"/>
        <w:rPr>
          <w:rFonts w:ascii="仿宋" w:hAnsi="仿宋" w:eastAsia="仿宋" w:cs="仿宋"/>
          <w:b w:val="0"/>
          <w:bCs w:val="0"/>
          <w:sz w:val="32"/>
          <w:szCs w:val="32"/>
        </w:rPr>
      </w:pPr>
      <w:r>
        <w:rPr>
          <w:rFonts w:hint="eastAsia" w:ascii="仿宋" w:hAnsi="仿宋" w:eastAsia="仿宋"/>
          <w:b w:val="0"/>
          <w:bCs w:val="0"/>
          <w:color w:val="000000"/>
          <w:sz w:val="32"/>
          <w:szCs w:val="32"/>
        </w:rPr>
        <w:t>以习近平新时代中国特色社会主义思想为指导，坚持“以人民为中心的发展思想”，健全与岗位职责、工作业绩、实际贡献紧密联系并积极鼓励创新的考核激励机制，建立公平公正、合理有序的收入分配制度，切实发挥绩效工资的激励功能，调动教职工的工作积极性、创造性，增强学校办学活力。</w:t>
      </w:r>
    </w:p>
    <w:p w14:paraId="50DD5728">
      <w:pPr>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二、基本原则</w:t>
      </w:r>
    </w:p>
    <w:p w14:paraId="4BE8CB33">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rPr>
        <w:t>（一）坚持</w:t>
      </w:r>
      <w:r>
        <w:rPr>
          <w:rFonts w:hint="eastAsia" w:ascii="仿宋" w:hAnsi="仿宋" w:eastAsia="仿宋"/>
          <w:b w:val="0"/>
          <w:bCs w:val="0"/>
          <w:color w:val="000000"/>
          <w:sz w:val="32"/>
          <w:szCs w:val="32"/>
          <w:lang w:val="en-US" w:eastAsia="zh-CN"/>
        </w:rPr>
        <w:t>总量控制、</w:t>
      </w:r>
      <w:r>
        <w:rPr>
          <w:rFonts w:hint="eastAsia" w:ascii="仿宋" w:hAnsi="仿宋" w:eastAsia="仿宋"/>
          <w:b w:val="0"/>
          <w:bCs w:val="0"/>
          <w:color w:val="000000"/>
          <w:sz w:val="32"/>
          <w:szCs w:val="32"/>
        </w:rPr>
        <w:t>协调发展的原则。结合学校各项事业发展和办学实力的提高，适应事业单位绩效工资改革的要求，稳步推进学校内部分配制度改革；根据绩效工资总量控制要求，建立与学校财力水平相适应的绩效工资分配体系。</w:t>
      </w:r>
    </w:p>
    <w:p w14:paraId="4C26CBEC">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rPr>
        <w:t>（二）坚持注重绩效、公平公正的原则。适应事业单位聘用制改革和岗位管理要求，结合学校实际，完善与工作业绩、实际贡献紧密联系，建立以岗位职责和目标责任为依据的分配政策，充分体现多劳多得、优绩优酬。</w:t>
      </w:r>
    </w:p>
    <w:p w14:paraId="5E7F3F86">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rPr>
        <w:t>（三）坚持统筹兼顾、惠及全体的原则。向在教学科研和管理服务中做出贡献的教职工倾斜，体现不同岗位的绩效要素，合理确定分配等次和级差，充分调动全校教职工的积极性和创造性，促进学校教学、科研和管理等工作再上新台阶。</w:t>
      </w:r>
    </w:p>
    <w:p w14:paraId="6F3C6C17">
      <w:pPr>
        <w:spacing w:line="560" w:lineRule="exact"/>
        <w:ind w:firstLine="640" w:firstLineChars="200"/>
        <w:rPr>
          <w:rFonts w:ascii="黑体" w:hAnsi="黑体" w:eastAsia="黑体" w:cs="黑体"/>
          <w:b w:val="0"/>
          <w:bCs w:val="0"/>
          <w:sz w:val="32"/>
          <w:szCs w:val="32"/>
        </w:rPr>
      </w:pPr>
      <w:r>
        <w:rPr>
          <w:rFonts w:hint="eastAsia" w:ascii="仿宋" w:hAnsi="仿宋" w:eastAsia="仿宋"/>
          <w:b w:val="0"/>
          <w:bCs w:val="0"/>
          <w:color w:val="000000"/>
          <w:sz w:val="32"/>
          <w:szCs w:val="32"/>
        </w:rPr>
        <w:t>（四）坚持统一领导、分级管理的原则。建立和完善绩效工资分配工作统一领导、分级管理、有效调控的宏观管理体系，提高二级学院（部）分配自主权，增强二级学院（部）办学活力，充分发挥二级学院（部）自主管理、谋求发展的积极性和创造性。</w:t>
      </w:r>
    </w:p>
    <w:p w14:paraId="15003763">
      <w:pPr>
        <w:spacing w:line="560" w:lineRule="exact"/>
        <w:ind w:firstLine="640" w:firstLineChars="200"/>
        <w:rPr>
          <w:rFonts w:ascii="仿宋" w:hAnsi="仿宋" w:eastAsia="黑体" w:cs="仿宋"/>
          <w:b w:val="0"/>
          <w:bCs w:val="0"/>
          <w:sz w:val="32"/>
          <w:szCs w:val="32"/>
        </w:rPr>
      </w:pPr>
      <w:r>
        <w:rPr>
          <w:rFonts w:hint="eastAsia" w:ascii="黑体" w:hAnsi="黑体" w:eastAsia="黑体" w:cs="黑体"/>
          <w:b w:val="0"/>
          <w:bCs w:val="0"/>
          <w:sz w:val="32"/>
          <w:szCs w:val="32"/>
        </w:rPr>
        <w:t>三、实施范围</w:t>
      </w:r>
    </w:p>
    <w:p w14:paraId="6EBD7A04">
      <w:pPr>
        <w:spacing w:line="56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本办法实施范围为学校事业编制在编教职工。</w:t>
      </w:r>
    </w:p>
    <w:p w14:paraId="572022E0">
      <w:pPr>
        <w:spacing w:line="560" w:lineRule="exact"/>
        <w:ind w:firstLine="640" w:firstLineChars="200"/>
        <w:rPr>
          <w:rFonts w:ascii="仿宋" w:hAnsi="仿宋" w:eastAsia="仿宋" w:cs="仿宋"/>
          <w:b w:val="0"/>
          <w:bCs w:val="0"/>
          <w:sz w:val="32"/>
          <w:szCs w:val="32"/>
        </w:rPr>
      </w:pPr>
      <w:r>
        <w:rPr>
          <w:rFonts w:hint="eastAsia" w:ascii="仿宋" w:hAnsi="仿宋" w:eastAsia="仿宋"/>
          <w:b w:val="0"/>
          <w:bCs w:val="0"/>
          <w:sz w:val="32"/>
          <w:szCs w:val="32"/>
        </w:rPr>
        <w:t>人事代理人员参照执行。</w:t>
      </w:r>
    </w:p>
    <w:p w14:paraId="16007314">
      <w:p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四、组织机构</w:t>
      </w:r>
    </w:p>
    <w:p w14:paraId="0DDD1F4C">
      <w:pPr>
        <w:spacing w:line="560" w:lineRule="exact"/>
        <w:ind w:firstLine="640" w:firstLineChars="200"/>
        <w:rPr>
          <w:rFonts w:ascii="仿宋" w:hAnsi="仿宋" w:eastAsia="仿宋"/>
          <w:b w:val="0"/>
          <w:bCs w:val="0"/>
          <w:color w:val="auto"/>
          <w:sz w:val="32"/>
          <w:szCs w:val="32"/>
        </w:rPr>
      </w:pPr>
      <w:r>
        <w:rPr>
          <w:rFonts w:hint="eastAsia" w:ascii="仿宋" w:hAnsi="仿宋" w:eastAsia="仿宋"/>
          <w:b w:val="0"/>
          <w:bCs w:val="0"/>
          <w:sz w:val="32"/>
          <w:szCs w:val="32"/>
        </w:rPr>
        <w:t>学校成立奖励性绩效工资</w:t>
      </w:r>
      <w:r>
        <w:rPr>
          <w:rFonts w:hint="eastAsia" w:ascii="仿宋" w:hAnsi="仿宋" w:eastAsia="仿宋"/>
          <w:b w:val="0"/>
          <w:bCs w:val="0"/>
          <w:color w:val="auto"/>
          <w:sz w:val="32"/>
          <w:szCs w:val="32"/>
          <w:lang w:val="en-US" w:eastAsia="zh-CN"/>
        </w:rPr>
        <w:t>分配工作</w:t>
      </w:r>
      <w:r>
        <w:rPr>
          <w:rFonts w:hint="eastAsia" w:ascii="仿宋" w:hAnsi="仿宋" w:eastAsia="仿宋"/>
          <w:b w:val="0"/>
          <w:bCs w:val="0"/>
          <w:color w:val="auto"/>
          <w:sz w:val="32"/>
          <w:szCs w:val="32"/>
        </w:rPr>
        <w:t>领</w:t>
      </w:r>
      <w:r>
        <w:rPr>
          <w:rFonts w:hint="eastAsia" w:ascii="仿宋" w:hAnsi="仿宋" w:eastAsia="仿宋"/>
          <w:b w:val="0"/>
          <w:bCs w:val="0"/>
          <w:sz w:val="32"/>
          <w:szCs w:val="32"/>
        </w:rPr>
        <w:t>导小组，负责学校绩效工资实施工作的组织领导，</w:t>
      </w:r>
      <w:r>
        <w:rPr>
          <w:rFonts w:hint="eastAsia" w:ascii="仿宋" w:hAnsi="仿宋" w:eastAsia="仿宋"/>
          <w:b w:val="0"/>
          <w:bCs w:val="0"/>
          <w:sz w:val="32"/>
          <w:szCs w:val="32"/>
          <w:lang w:val="en-US" w:eastAsia="zh-CN"/>
        </w:rPr>
        <w:t>负责</w:t>
      </w:r>
      <w:r>
        <w:rPr>
          <w:rFonts w:hint="eastAsia" w:ascii="仿宋" w:hAnsi="仿宋" w:eastAsia="仿宋"/>
          <w:b w:val="0"/>
          <w:bCs w:val="0"/>
          <w:sz w:val="32"/>
          <w:szCs w:val="32"/>
        </w:rPr>
        <w:t>研究、审议有关奖励性绩效工资分配的决策和办法，审定各二级学院（部）的奖励性绩效工资实施细则。领导小组下设办公室，办公室主任由人事处处长兼任，具体负责实施奖励性绩效工资的日常事务。奖励性绩效工资分配办法经学校</w:t>
      </w:r>
      <w:r>
        <w:rPr>
          <w:rFonts w:hint="eastAsia" w:ascii="仿宋" w:hAnsi="仿宋" w:eastAsia="仿宋"/>
          <w:b w:val="0"/>
          <w:bCs w:val="0"/>
          <w:color w:val="auto"/>
          <w:sz w:val="32"/>
          <w:szCs w:val="32"/>
        </w:rPr>
        <w:t>教代会审定通过后，报学校党委</w:t>
      </w:r>
      <w:r>
        <w:rPr>
          <w:rFonts w:hint="eastAsia" w:ascii="仿宋" w:hAnsi="仿宋" w:eastAsia="仿宋"/>
          <w:b w:val="0"/>
          <w:bCs w:val="0"/>
          <w:color w:val="auto"/>
          <w:sz w:val="32"/>
          <w:szCs w:val="32"/>
          <w:lang w:val="en-US" w:eastAsia="zh-CN"/>
        </w:rPr>
        <w:t>会</w:t>
      </w:r>
      <w:r>
        <w:rPr>
          <w:rFonts w:hint="eastAsia" w:ascii="仿宋" w:hAnsi="仿宋" w:eastAsia="仿宋"/>
          <w:b w:val="0"/>
          <w:bCs w:val="0"/>
          <w:color w:val="auto"/>
          <w:sz w:val="32"/>
          <w:szCs w:val="32"/>
        </w:rPr>
        <w:t>批准后实施。</w:t>
      </w:r>
    </w:p>
    <w:p w14:paraId="0EB8CCF1">
      <w:pPr>
        <w:spacing w:line="560" w:lineRule="exact"/>
        <w:ind w:firstLine="640" w:firstLineChars="200"/>
        <w:rPr>
          <w:rFonts w:ascii="仿宋" w:hAnsi="仿宋" w:eastAsia="仿宋"/>
          <w:b w:val="0"/>
          <w:bCs w:val="0"/>
          <w:color w:val="auto"/>
          <w:sz w:val="32"/>
          <w:szCs w:val="32"/>
        </w:rPr>
      </w:pPr>
      <w:r>
        <w:rPr>
          <w:rFonts w:hint="eastAsia" w:ascii="仿宋" w:hAnsi="仿宋" w:eastAsia="仿宋"/>
          <w:b w:val="0"/>
          <w:bCs w:val="0"/>
          <w:color w:val="auto"/>
          <w:sz w:val="32"/>
          <w:szCs w:val="32"/>
        </w:rPr>
        <w:t>各二级学院（部）成立各自的奖励性绩效工资</w:t>
      </w:r>
      <w:r>
        <w:rPr>
          <w:rFonts w:hint="eastAsia" w:ascii="仿宋" w:hAnsi="仿宋" w:eastAsia="仿宋"/>
          <w:b w:val="0"/>
          <w:bCs w:val="0"/>
          <w:color w:val="auto"/>
          <w:sz w:val="32"/>
          <w:szCs w:val="32"/>
          <w:lang w:val="en-US" w:eastAsia="zh-CN"/>
        </w:rPr>
        <w:t>分配工作</w:t>
      </w:r>
      <w:r>
        <w:rPr>
          <w:rFonts w:hint="eastAsia" w:ascii="仿宋" w:hAnsi="仿宋" w:eastAsia="仿宋"/>
          <w:b w:val="0"/>
          <w:bCs w:val="0"/>
          <w:color w:val="auto"/>
          <w:sz w:val="32"/>
          <w:szCs w:val="32"/>
        </w:rPr>
        <w:t>小组，工作小组由二级学院（部）党政主要负责人、分工会主席和教职工代表组成，人数一般不少于7人，党政主要负责人任组长。工作小组负责制定本二级学院（部）奖励性绩效工资实施细则，组织实施本二级学院（部）奖励性绩效工资</w:t>
      </w:r>
      <w:r>
        <w:rPr>
          <w:rFonts w:hint="eastAsia" w:ascii="仿宋" w:hAnsi="仿宋" w:eastAsia="仿宋"/>
          <w:b w:val="0"/>
          <w:bCs w:val="0"/>
          <w:color w:val="auto"/>
          <w:sz w:val="32"/>
          <w:szCs w:val="32"/>
          <w:lang w:val="en-US" w:eastAsia="zh-CN"/>
        </w:rPr>
        <w:t>相关</w:t>
      </w:r>
      <w:r>
        <w:rPr>
          <w:rFonts w:hint="eastAsia" w:ascii="仿宋" w:hAnsi="仿宋" w:eastAsia="仿宋"/>
          <w:b w:val="0"/>
          <w:bCs w:val="0"/>
          <w:color w:val="auto"/>
          <w:sz w:val="32"/>
          <w:szCs w:val="32"/>
        </w:rPr>
        <w:t>工作。各二级学院（部）奖励性绩效工资实施细则</w:t>
      </w:r>
      <w:r>
        <w:rPr>
          <w:rFonts w:hint="eastAsia" w:ascii="仿宋" w:hAnsi="仿宋" w:eastAsia="仿宋"/>
          <w:b w:val="0"/>
          <w:bCs w:val="0"/>
          <w:color w:val="auto"/>
          <w:sz w:val="32"/>
          <w:szCs w:val="32"/>
          <w:lang w:val="en-US" w:eastAsia="zh-CN"/>
        </w:rPr>
        <w:t>经</w:t>
      </w:r>
      <w:r>
        <w:rPr>
          <w:rFonts w:hint="eastAsia" w:ascii="仿宋" w:hAnsi="仿宋" w:eastAsia="仿宋"/>
          <w:b w:val="0"/>
          <w:bCs w:val="0"/>
          <w:strike w:val="0"/>
          <w:color w:val="auto"/>
          <w:sz w:val="32"/>
          <w:szCs w:val="32"/>
        </w:rPr>
        <w:t>本二级学院（部）教职工</w:t>
      </w:r>
      <w:r>
        <w:rPr>
          <w:rFonts w:hint="eastAsia" w:ascii="仿宋" w:hAnsi="仿宋" w:eastAsia="仿宋"/>
          <w:b w:val="0"/>
          <w:bCs w:val="0"/>
          <w:strike w:val="0"/>
          <w:color w:val="auto"/>
          <w:sz w:val="32"/>
          <w:szCs w:val="32"/>
          <w:lang w:eastAsia="zh-CN"/>
        </w:rPr>
        <w:t>（</w:t>
      </w:r>
      <w:r>
        <w:rPr>
          <w:rFonts w:hint="eastAsia" w:ascii="仿宋" w:hAnsi="仿宋" w:eastAsia="仿宋"/>
          <w:b w:val="0"/>
          <w:bCs w:val="0"/>
          <w:strike w:val="0"/>
          <w:color w:val="auto"/>
          <w:sz w:val="32"/>
          <w:szCs w:val="32"/>
          <w:lang w:val="en-US" w:eastAsia="zh-CN"/>
        </w:rPr>
        <w:t>代表</w:t>
      </w:r>
      <w:r>
        <w:rPr>
          <w:rFonts w:hint="eastAsia" w:ascii="仿宋" w:hAnsi="仿宋" w:eastAsia="仿宋"/>
          <w:b w:val="0"/>
          <w:bCs w:val="0"/>
          <w:strike w:val="0"/>
          <w:color w:val="auto"/>
          <w:sz w:val="32"/>
          <w:szCs w:val="32"/>
          <w:lang w:eastAsia="zh-CN"/>
        </w:rPr>
        <w:t>）</w:t>
      </w:r>
      <w:r>
        <w:rPr>
          <w:rFonts w:hint="eastAsia" w:ascii="仿宋" w:hAnsi="仿宋" w:eastAsia="仿宋"/>
          <w:b w:val="0"/>
          <w:bCs w:val="0"/>
          <w:strike w:val="0"/>
          <w:color w:val="auto"/>
          <w:sz w:val="32"/>
          <w:szCs w:val="32"/>
        </w:rPr>
        <w:t>大会</w:t>
      </w:r>
      <w:r>
        <w:rPr>
          <w:rFonts w:hint="eastAsia" w:ascii="仿宋" w:hAnsi="仿宋" w:eastAsia="仿宋"/>
          <w:b w:val="0"/>
          <w:bCs w:val="0"/>
          <w:color w:val="auto"/>
          <w:sz w:val="32"/>
          <w:szCs w:val="32"/>
          <w:lang w:val="en-US" w:eastAsia="zh-CN"/>
        </w:rPr>
        <w:t>无记名投票通过后，经</w:t>
      </w:r>
      <w:r>
        <w:rPr>
          <w:rFonts w:hint="eastAsia" w:ascii="仿宋" w:hAnsi="仿宋" w:eastAsia="仿宋"/>
          <w:b w:val="0"/>
          <w:bCs w:val="0"/>
          <w:color w:val="auto"/>
          <w:sz w:val="32"/>
          <w:szCs w:val="32"/>
        </w:rPr>
        <w:t>奖励性绩效工资</w:t>
      </w:r>
      <w:r>
        <w:rPr>
          <w:rFonts w:hint="eastAsia" w:ascii="仿宋" w:hAnsi="仿宋" w:eastAsia="仿宋"/>
          <w:b w:val="0"/>
          <w:bCs w:val="0"/>
          <w:color w:val="auto"/>
          <w:sz w:val="32"/>
          <w:szCs w:val="32"/>
          <w:lang w:val="en-US" w:eastAsia="zh-CN"/>
        </w:rPr>
        <w:t>分配工作</w:t>
      </w:r>
      <w:r>
        <w:rPr>
          <w:rFonts w:hint="eastAsia" w:ascii="仿宋" w:hAnsi="仿宋" w:eastAsia="仿宋"/>
          <w:b w:val="0"/>
          <w:bCs w:val="0"/>
          <w:color w:val="auto"/>
          <w:sz w:val="32"/>
          <w:szCs w:val="32"/>
        </w:rPr>
        <w:t>领导小组审定通过后，报学校党委批准后实施。</w:t>
      </w:r>
    </w:p>
    <w:p w14:paraId="53717620">
      <w:pPr>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五、绩效工资总量</w:t>
      </w:r>
    </w:p>
    <w:p w14:paraId="47FC7216">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学校每年度绩效工资总量由上级主管部门在综合考虑单位类别、人员结构、岗位设置、发展成果等多种因素的基础上进行核定。学校在核定的绩效工资总量范围内进行绩效工资分配。</w:t>
      </w:r>
    </w:p>
    <w:p w14:paraId="4D656D53">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学校对实行年薪制、协议工资、项目工资等分配制度的科技人员的薪酬实行单独分开管理，其人员及实际薪酬发放水平不纳入学校绩效工资总量核定范围。</w:t>
      </w:r>
    </w:p>
    <w:p w14:paraId="745F3D61">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学校引进国内外院士、国家杰出青年基金获得者、长江学者、国家“千人计划”专家、国家“万人计划”专家等顶尖人才，以及“百千万人才工程”国家级人选、享受国务院政府特殊津贴人员、中华技能大奖获得者支付的薪酬，实行单独分配管理，不纳入学校绩效工资核定范围。</w:t>
      </w:r>
    </w:p>
    <w:p w14:paraId="1B5D4D35">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学校各资源管理单位提供大型科学仪器等科技公共资源开放共享获取的服务收入，可作为实施绩效工资的经费来源。学校在申报绩效工资总量时，可根据相应服务收入和服务质量予以申报增核。学校资源管理单位实施内部绩效工资分配时应向从事资源服务的人员倾斜。</w:t>
      </w:r>
    </w:p>
    <w:p w14:paraId="2265813F">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支持学校各资源管理单位探索大型科学仪器等科技公共资源开放共享后补助机制和校内调配制度，把科研设施与仪器开放共享效果与仪器新购和维护的资源投入挂钩，并根据开放效果和用户评价，对提供开放共享服务的单位和技术人员给予绩效奖励，调动科研设施与仪器开放共享积极性。</w:t>
      </w:r>
    </w:p>
    <w:p w14:paraId="41507B0E">
      <w:pPr>
        <w:numPr>
          <w:ilvl w:val="0"/>
          <w:numId w:val="1"/>
        </w:numPr>
        <w:spacing w:line="56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绩效工资结构和分配</w:t>
      </w:r>
    </w:p>
    <w:p w14:paraId="73A07379">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学校绩效工资由基础性绩效</w:t>
      </w:r>
      <w:r>
        <w:rPr>
          <w:rFonts w:hint="eastAsia" w:ascii="仿宋" w:hAnsi="仿宋" w:eastAsia="仿宋" w:cs="仿宋"/>
          <w:b w:val="0"/>
          <w:bCs w:val="0"/>
          <w:color w:val="auto"/>
          <w:sz w:val="32"/>
          <w:szCs w:val="32"/>
        </w:rPr>
        <w:t>工资</w:t>
      </w:r>
      <w:r>
        <w:rPr>
          <w:rFonts w:hint="eastAsia" w:ascii="仿宋" w:hAnsi="仿宋" w:eastAsia="仿宋" w:cs="仿宋"/>
          <w:b w:val="0"/>
          <w:bCs w:val="0"/>
          <w:sz w:val="32"/>
          <w:szCs w:val="32"/>
        </w:rPr>
        <w:t>、基础性绩效增核和奖励性绩效工资三部分构成。</w:t>
      </w:r>
    </w:p>
    <w:p w14:paraId="3F4EA473">
      <w:pPr>
        <w:spacing w:line="560" w:lineRule="exact"/>
        <w:ind w:firstLine="640" w:firstLineChars="200"/>
        <w:rPr>
          <w:rFonts w:ascii="楷体" w:hAnsi="楷体" w:eastAsia="楷体" w:cs="楷体"/>
          <w:b w:val="0"/>
          <w:bCs w:val="0"/>
          <w:color w:val="000000"/>
          <w:sz w:val="32"/>
          <w:szCs w:val="32"/>
        </w:rPr>
      </w:pPr>
      <w:r>
        <w:rPr>
          <w:rFonts w:hint="eastAsia" w:ascii="楷体" w:hAnsi="楷体" w:eastAsia="楷体" w:cs="楷体"/>
          <w:b w:val="0"/>
          <w:bCs w:val="0"/>
          <w:color w:val="000000"/>
          <w:sz w:val="32"/>
          <w:szCs w:val="32"/>
        </w:rPr>
        <w:t>（一）基础性绩效工资</w:t>
      </w:r>
    </w:p>
    <w:p w14:paraId="04264F1B">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基础性绩效工资分为生活补贴和岗位津贴两项，执行常州市标准，按月发放。</w:t>
      </w:r>
    </w:p>
    <w:p w14:paraId="1B8C9F36">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1、生活补贴。在职人员生活补贴标准，不分岗位，执行统一标准；</w:t>
      </w:r>
    </w:p>
    <w:p w14:paraId="4B39B45E">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2、岗位津贴。在职人员按现执行的岗位工资标准所对应的岗位、工作年限确定相应的标准。</w:t>
      </w:r>
    </w:p>
    <w:p w14:paraId="7C02412A">
      <w:pPr>
        <w:spacing w:line="560" w:lineRule="exact"/>
        <w:ind w:firstLine="640" w:firstLineChars="200"/>
        <w:rPr>
          <w:rFonts w:ascii="楷体" w:hAnsi="楷体" w:eastAsia="楷体" w:cs="楷体"/>
          <w:b w:val="0"/>
          <w:bCs w:val="0"/>
          <w:color w:val="FF0000"/>
          <w:sz w:val="32"/>
          <w:szCs w:val="32"/>
        </w:rPr>
      </w:pPr>
      <w:r>
        <w:rPr>
          <w:rFonts w:hint="eastAsia" w:ascii="楷体" w:hAnsi="楷体" w:eastAsia="楷体" w:cs="楷体"/>
          <w:b w:val="0"/>
          <w:bCs w:val="0"/>
          <w:color w:val="000000"/>
          <w:sz w:val="32"/>
          <w:szCs w:val="32"/>
        </w:rPr>
        <w:t>（二）基础性绩效增核</w:t>
      </w:r>
    </w:p>
    <w:p w14:paraId="5E4C55FC">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基础性绩效增核按照教职工所在的岗位、岗级确定相应的标</w:t>
      </w:r>
      <w:r>
        <w:rPr>
          <w:rFonts w:hint="eastAsia" w:ascii="仿宋" w:hAnsi="仿宋" w:eastAsia="仿宋" w:cs="仿宋"/>
          <w:b w:val="0"/>
          <w:bCs w:val="0"/>
          <w:color w:val="auto"/>
          <w:sz w:val="32"/>
          <w:szCs w:val="32"/>
        </w:rPr>
        <w:t>准</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按月发放。</w:t>
      </w:r>
    </w:p>
    <w:p w14:paraId="179E487F">
      <w:pPr>
        <w:spacing w:line="560" w:lineRule="exact"/>
        <w:ind w:firstLine="640" w:firstLineChars="200"/>
        <w:rPr>
          <w:rFonts w:ascii="楷体" w:hAnsi="楷体" w:eastAsia="楷体" w:cs="楷体"/>
          <w:b w:val="0"/>
          <w:bCs w:val="0"/>
          <w:color w:val="000000"/>
          <w:sz w:val="32"/>
          <w:szCs w:val="32"/>
        </w:rPr>
      </w:pPr>
      <w:r>
        <w:rPr>
          <w:rFonts w:hint="eastAsia" w:ascii="楷体" w:hAnsi="楷体" w:eastAsia="楷体" w:cs="楷体"/>
          <w:b w:val="0"/>
          <w:bCs w:val="0"/>
          <w:color w:val="000000"/>
          <w:sz w:val="32"/>
          <w:szCs w:val="32"/>
        </w:rPr>
        <w:t>（三）奖励性绩效工资</w:t>
      </w:r>
    </w:p>
    <w:p w14:paraId="4900E6BE">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奖励性绩效工资由学校在上级核定的总</w:t>
      </w:r>
      <w:r>
        <w:rPr>
          <w:rFonts w:hint="eastAsia" w:ascii="仿宋" w:hAnsi="仿宋" w:eastAsia="仿宋" w:cs="仿宋"/>
          <w:b w:val="0"/>
          <w:bCs w:val="0"/>
          <w:color w:val="auto"/>
          <w:sz w:val="32"/>
          <w:szCs w:val="32"/>
        </w:rPr>
        <w:t>量内自主制定分配办法。根据学校实际，奖励性绩效工资设立岗位奖励性绩效（基础奖励性绩效、目标奖励性绩效）、校级专项</w:t>
      </w:r>
      <w:r>
        <w:rPr>
          <w:rFonts w:hint="eastAsia" w:ascii="仿宋" w:hAnsi="仿宋" w:eastAsia="仿宋" w:cs="仿宋"/>
          <w:b w:val="0"/>
          <w:bCs w:val="0"/>
          <w:sz w:val="32"/>
          <w:szCs w:val="32"/>
        </w:rPr>
        <w:t>奖励性绩效和省级专项奖励性绩效三个项目。</w:t>
      </w:r>
    </w:p>
    <w:p w14:paraId="58285AC6">
      <w:pPr>
        <w:numPr>
          <w:ilvl w:val="0"/>
          <w:numId w:val="2"/>
        </w:num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岗位奖励性绩效</w:t>
      </w:r>
    </w:p>
    <w:p w14:paraId="5E0C5944">
      <w:pPr>
        <w:widowControl/>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岗位奖励性绩效分为基础奖励性绩效和目标奖励性绩效</w:t>
      </w:r>
      <w:r>
        <w:rPr>
          <w:rFonts w:hint="eastAsia" w:ascii="仿宋" w:hAnsi="仿宋" w:eastAsia="仿宋" w:cs="仿宋"/>
          <w:b w:val="0"/>
          <w:bCs w:val="0"/>
          <w:color w:val="auto"/>
          <w:sz w:val="32"/>
          <w:szCs w:val="32"/>
          <w:lang w:val="en-US" w:eastAsia="zh-CN"/>
        </w:rPr>
        <w:t>,其中</w:t>
      </w:r>
      <w:r>
        <w:rPr>
          <w:rFonts w:hint="eastAsia" w:ascii="仿宋" w:hAnsi="仿宋" w:eastAsia="仿宋" w:cs="仿宋"/>
          <w:b w:val="0"/>
          <w:bCs w:val="0"/>
          <w:color w:val="auto"/>
          <w:sz w:val="32"/>
          <w:szCs w:val="32"/>
        </w:rPr>
        <w:t>基础奖励性绩效</w:t>
      </w:r>
      <w:r>
        <w:rPr>
          <w:rFonts w:hint="eastAsia" w:ascii="仿宋" w:hAnsi="仿宋" w:eastAsia="仿宋" w:cs="仿宋"/>
          <w:b w:val="0"/>
          <w:bCs w:val="0"/>
          <w:color w:val="auto"/>
          <w:sz w:val="32"/>
          <w:szCs w:val="32"/>
          <w:lang w:val="en-US" w:eastAsia="zh-CN"/>
        </w:rPr>
        <w:t>占60%、</w:t>
      </w:r>
      <w:r>
        <w:rPr>
          <w:rFonts w:hint="eastAsia" w:ascii="仿宋" w:hAnsi="仿宋" w:eastAsia="仿宋" w:cs="仿宋"/>
          <w:b w:val="0"/>
          <w:bCs w:val="0"/>
          <w:color w:val="auto"/>
          <w:sz w:val="32"/>
          <w:szCs w:val="32"/>
        </w:rPr>
        <w:t>目标奖励性绩效</w:t>
      </w:r>
      <w:r>
        <w:rPr>
          <w:rFonts w:hint="eastAsia" w:ascii="仿宋" w:hAnsi="仿宋" w:eastAsia="仿宋" w:cs="仿宋"/>
          <w:b w:val="0"/>
          <w:bCs w:val="0"/>
          <w:color w:val="auto"/>
          <w:sz w:val="32"/>
          <w:szCs w:val="32"/>
          <w:lang w:val="en-US" w:eastAsia="zh-CN"/>
        </w:rPr>
        <w:t>占40%</w:t>
      </w:r>
      <w:r>
        <w:rPr>
          <w:rFonts w:hint="eastAsia" w:ascii="仿宋" w:hAnsi="仿宋" w:eastAsia="仿宋" w:cs="仿宋"/>
          <w:b w:val="0"/>
          <w:bCs w:val="0"/>
          <w:color w:val="auto"/>
          <w:sz w:val="32"/>
          <w:szCs w:val="32"/>
        </w:rPr>
        <w:t>。</w:t>
      </w:r>
    </w:p>
    <w:p w14:paraId="31F85729">
      <w:pPr>
        <w:widowControl/>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岗位奖励性绩效的基数标准由学校党委会根据奖励性绩效工资总量、财政状况等因素综合确定。岗位奖励性绩效系数见表1。</w:t>
      </w:r>
    </w:p>
    <w:p w14:paraId="6304CCFE">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（1）基础奖励性绩效</w:t>
      </w:r>
    </w:p>
    <w:p w14:paraId="2D5099DA">
      <w:pPr>
        <w:widowControl/>
        <w:spacing w:line="560" w:lineRule="exact"/>
        <w:ind w:firstLine="640" w:firstLineChars="200"/>
        <w:rPr>
          <w:rFonts w:ascii="仿宋" w:hAnsi="仿宋" w:eastAsia="仿宋" w:cs="仿宋"/>
          <w:b w:val="0"/>
          <w:bCs w:val="0"/>
          <w:strike w:val="0"/>
          <w:color w:val="auto"/>
          <w:sz w:val="32"/>
          <w:szCs w:val="32"/>
        </w:rPr>
      </w:pPr>
      <w:r>
        <w:rPr>
          <w:rFonts w:hint="eastAsia" w:ascii="仿宋" w:hAnsi="仿宋" w:eastAsia="仿宋" w:cs="仿宋"/>
          <w:b w:val="0"/>
          <w:bCs w:val="0"/>
          <w:color w:val="auto"/>
          <w:sz w:val="32"/>
          <w:szCs w:val="32"/>
        </w:rPr>
        <w:t>基础奖励性绩效以教职工所聘岗位为基础，与教职工岗位基本职责、岗位等级、责任大小等要素挂钩，充分体现对岗位业绩的激励</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trike w:val="0"/>
          <w:dstrike w:val="0"/>
          <w:color w:val="auto"/>
          <w:sz w:val="32"/>
          <w:szCs w:val="32"/>
        </w:rPr>
        <w:t>按月发放。</w:t>
      </w:r>
    </w:p>
    <w:p w14:paraId="18B05379">
      <w:pPr>
        <w:widowControl/>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（2）目标奖励性绩效</w:t>
      </w:r>
    </w:p>
    <w:p w14:paraId="59EA4CB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宋体" w:hAnsi="宋体" w:eastAsia="宋体" w:cs="宋体"/>
          <w:b w:val="0"/>
          <w:bCs w:val="0"/>
          <w:sz w:val="32"/>
          <w:szCs w:val="32"/>
        </w:rPr>
        <w:t>①</w:t>
      </w:r>
      <w:r>
        <w:rPr>
          <w:rFonts w:hint="eastAsia" w:ascii="仿宋" w:hAnsi="仿宋" w:eastAsia="仿宋" w:cs="仿宋"/>
          <w:b w:val="0"/>
          <w:bCs w:val="0"/>
          <w:sz w:val="32"/>
          <w:szCs w:val="32"/>
        </w:rPr>
        <w:t>二级学院（部）</w:t>
      </w:r>
    </w:p>
    <w:p w14:paraId="3829FF1A">
      <w:pPr>
        <w:widowControl/>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根据教职工</w:t>
      </w:r>
      <w:r>
        <w:rPr>
          <w:rFonts w:hint="eastAsia" w:ascii="仿宋" w:hAnsi="仿宋" w:eastAsia="仿宋" w:cs="仿宋"/>
          <w:b w:val="0"/>
          <w:bCs w:val="0"/>
          <w:color w:val="auto"/>
          <w:sz w:val="32"/>
          <w:szCs w:val="32"/>
          <w:lang w:val="en-US" w:eastAsia="zh-CN"/>
        </w:rPr>
        <w:t>年度</w:t>
      </w:r>
      <w:r>
        <w:rPr>
          <w:rFonts w:hint="eastAsia" w:ascii="仿宋" w:hAnsi="仿宋" w:eastAsia="仿宋" w:cs="仿宋"/>
          <w:b w:val="0"/>
          <w:bCs w:val="0"/>
          <w:color w:val="auto"/>
          <w:sz w:val="32"/>
          <w:szCs w:val="32"/>
        </w:rPr>
        <w:t>考核结果</w:t>
      </w:r>
      <w:r>
        <w:rPr>
          <w:rFonts w:hint="eastAsia" w:ascii="仿宋" w:hAnsi="仿宋" w:eastAsia="仿宋" w:cs="仿宋"/>
          <w:b w:val="0"/>
          <w:bCs w:val="0"/>
          <w:color w:val="auto"/>
          <w:sz w:val="32"/>
          <w:szCs w:val="32"/>
          <w:lang w:val="en-US" w:eastAsia="zh-CN"/>
        </w:rPr>
        <w:t>将</w:t>
      </w:r>
      <w:r>
        <w:rPr>
          <w:rFonts w:hint="eastAsia" w:ascii="仿宋" w:hAnsi="仿宋" w:eastAsia="仿宋" w:cs="仿宋"/>
          <w:b w:val="0"/>
          <w:bCs w:val="0"/>
          <w:color w:val="auto"/>
          <w:sz w:val="32"/>
          <w:szCs w:val="32"/>
        </w:rPr>
        <w:t>目标奖励性绩效</w:t>
      </w:r>
      <w:r>
        <w:rPr>
          <w:rFonts w:hint="eastAsia" w:ascii="仿宋" w:hAnsi="仿宋" w:eastAsia="仿宋" w:cs="仿宋"/>
          <w:b w:val="0"/>
          <w:bCs w:val="0"/>
          <w:color w:val="auto"/>
          <w:sz w:val="32"/>
          <w:szCs w:val="32"/>
          <w:lang w:val="en-US" w:eastAsia="zh-CN"/>
        </w:rPr>
        <w:t>全额核拨至</w:t>
      </w:r>
      <w:r>
        <w:rPr>
          <w:rFonts w:hint="eastAsia" w:ascii="仿宋" w:hAnsi="仿宋" w:eastAsia="仿宋" w:cs="仿宋"/>
          <w:b w:val="0"/>
          <w:bCs w:val="0"/>
          <w:color w:val="auto"/>
          <w:sz w:val="32"/>
          <w:szCs w:val="32"/>
        </w:rPr>
        <w:t>二级学院（部）</w:t>
      </w:r>
      <w:r>
        <w:rPr>
          <w:rFonts w:hint="eastAsia" w:ascii="仿宋" w:hAnsi="仿宋" w:eastAsia="仿宋" w:cs="仿宋"/>
          <w:b w:val="0"/>
          <w:bCs w:val="0"/>
          <w:color w:val="auto"/>
          <w:sz w:val="32"/>
          <w:szCs w:val="32"/>
          <w:lang w:eastAsia="zh-CN"/>
        </w:rPr>
        <w:t>。</w:t>
      </w:r>
    </w:p>
    <w:p w14:paraId="61D38F76">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rPr>
        <w:t>二级学院（部）目标奖励性绩效</w:t>
      </w:r>
      <w:r>
        <w:rPr>
          <w:rFonts w:hint="eastAsia" w:ascii="仿宋" w:hAnsi="仿宋" w:eastAsia="仿宋" w:cs="仿宋"/>
          <w:b w:val="0"/>
          <w:bCs w:val="0"/>
          <w:color w:val="auto"/>
          <w:sz w:val="32"/>
          <w:szCs w:val="32"/>
          <w:lang w:eastAsia="zh-CN"/>
        </w:rPr>
        <w:t>在本年度创收利润内</w:t>
      </w:r>
      <w:r>
        <w:rPr>
          <w:rFonts w:hint="eastAsia" w:ascii="仿宋" w:hAnsi="仿宋" w:eastAsia="仿宋" w:cs="仿宋"/>
          <w:b w:val="0"/>
          <w:bCs w:val="0"/>
          <w:color w:val="auto"/>
          <w:sz w:val="32"/>
          <w:szCs w:val="32"/>
        </w:rPr>
        <w:t>可适当上浮，但上浮超出目标奖励性绩效1</w:t>
      </w:r>
      <w:r>
        <w:rPr>
          <w:rFonts w:ascii="仿宋" w:hAnsi="仿宋" w:eastAsia="仿宋" w:cs="仿宋"/>
          <w:b w:val="0"/>
          <w:bCs w:val="0"/>
          <w:color w:val="auto"/>
          <w:sz w:val="32"/>
          <w:szCs w:val="32"/>
        </w:rPr>
        <w:t>0</w:t>
      </w:r>
      <w:r>
        <w:rPr>
          <w:rFonts w:hint="eastAsia" w:ascii="仿宋" w:hAnsi="仿宋" w:eastAsia="仿宋" w:cs="仿宋"/>
          <w:b w:val="0"/>
          <w:bCs w:val="0"/>
          <w:color w:val="auto"/>
          <w:sz w:val="32"/>
          <w:szCs w:val="32"/>
        </w:rPr>
        <w:t>0%部分须按1:0.</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缴纳创收调节金，且总量不得超过目标奖励性绩效总量的120%。二级学院（部）目标奖励性绩效</w:t>
      </w:r>
      <w:r>
        <w:rPr>
          <w:rFonts w:hint="eastAsia" w:ascii="仿宋" w:hAnsi="仿宋" w:eastAsia="仿宋" w:cs="仿宋"/>
          <w:b w:val="0"/>
          <w:bCs w:val="0"/>
          <w:color w:val="auto"/>
          <w:sz w:val="32"/>
          <w:szCs w:val="32"/>
          <w:lang w:val="en-US" w:eastAsia="zh-CN"/>
        </w:rPr>
        <w:t>上浮部分由二级学院（部）上报人事处，经人事处汇总审核后提交党委会审议后执行。</w:t>
      </w:r>
    </w:p>
    <w:p w14:paraId="0D9D4BB7">
      <w:pPr>
        <w:spacing w:line="56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二级学院（部）</w:t>
      </w:r>
      <w:r>
        <w:rPr>
          <w:rFonts w:hint="eastAsia" w:ascii="仿宋" w:hAnsi="仿宋" w:eastAsia="仿宋" w:cs="仿宋"/>
          <w:b w:val="0"/>
          <w:bCs w:val="0"/>
          <w:color w:val="auto"/>
          <w:sz w:val="32"/>
          <w:szCs w:val="32"/>
          <w:lang w:val="en-US" w:eastAsia="zh-CN"/>
        </w:rPr>
        <w:t>根据本部门制定的实施细则发放</w:t>
      </w:r>
      <w:r>
        <w:rPr>
          <w:rFonts w:hint="eastAsia" w:ascii="仿宋" w:hAnsi="仿宋" w:eastAsia="仿宋" w:cs="仿宋"/>
          <w:b w:val="0"/>
          <w:bCs w:val="0"/>
          <w:color w:val="auto"/>
          <w:sz w:val="32"/>
          <w:szCs w:val="32"/>
        </w:rPr>
        <w:t>目标奖励性绩效</w:t>
      </w:r>
      <w:r>
        <w:rPr>
          <w:rFonts w:hint="eastAsia" w:ascii="仿宋" w:hAnsi="仿宋" w:eastAsia="仿宋" w:cs="仿宋"/>
          <w:b w:val="0"/>
          <w:bCs w:val="0"/>
          <w:color w:val="auto"/>
          <w:sz w:val="32"/>
          <w:szCs w:val="32"/>
          <w:lang w:val="en-US" w:eastAsia="zh-CN"/>
        </w:rPr>
        <w:t>及其上浮部分。</w:t>
      </w:r>
    </w:p>
    <w:p w14:paraId="07355D5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②职能部门</w:t>
      </w:r>
    </w:p>
    <w:p w14:paraId="44A4AFE0">
      <w:pPr>
        <w:spacing w:line="560" w:lineRule="exact"/>
        <w:ind w:firstLine="640" w:firstLineChars="200"/>
        <w:rPr>
          <w:rFonts w:hint="eastAsia" w:ascii="仿宋" w:hAnsi="仿宋" w:eastAsia="仿宋" w:cs="仿宋"/>
          <w:b w:val="0"/>
          <w:bCs w:val="0"/>
          <w:strike w:val="0"/>
          <w:color w:val="auto"/>
          <w:sz w:val="32"/>
          <w:szCs w:val="32"/>
          <w:lang w:eastAsia="zh-CN"/>
        </w:rPr>
      </w:pP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根据教职工</w:t>
      </w:r>
      <w:r>
        <w:rPr>
          <w:rFonts w:hint="eastAsia" w:ascii="仿宋" w:hAnsi="仿宋" w:eastAsia="仿宋" w:cs="仿宋"/>
          <w:b w:val="0"/>
          <w:bCs w:val="0"/>
          <w:color w:val="auto"/>
          <w:sz w:val="32"/>
          <w:szCs w:val="32"/>
          <w:lang w:val="en-US" w:eastAsia="zh-CN"/>
        </w:rPr>
        <w:t>年度</w:t>
      </w:r>
      <w:r>
        <w:rPr>
          <w:rFonts w:hint="eastAsia" w:ascii="仿宋" w:hAnsi="仿宋" w:eastAsia="仿宋" w:cs="仿宋"/>
          <w:b w:val="0"/>
          <w:bCs w:val="0"/>
          <w:color w:val="auto"/>
          <w:sz w:val="32"/>
          <w:szCs w:val="32"/>
        </w:rPr>
        <w:t>考核结果</w:t>
      </w:r>
      <w:r>
        <w:rPr>
          <w:rFonts w:hint="eastAsia" w:ascii="仿宋" w:hAnsi="仿宋" w:eastAsia="仿宋" w:cs="仿宋"/>
          <w:b w:val="0"/>
          <w:bCs w:val="0"/>
          <w:color w:val="auto"/>
          <w:sz w:val="32"/>
          <w:szCs w:val="32"/>
          <w:lang w:val="en-US" w:eastAsia="zh-CN"/>
        </w:rPr>
        <w:t>发放</w:t>
      </w:r>
      <w:r>
        <w:rPr>
          <w:rFonts w:hint="eastAsia" w:ascii="仿宋" w:hAnsi="仿宋" w:eastAsia="仿宋" w:cs="仿宋"/>
          <w:b w:val="0"/>
          <w:bCs w:val="0"/>
          <w:color w:val="auto"/>
          <w:sz w:val="32"/>
          <w:szCs w:val="32"/>
        </w:rPr>
        <w:t>目标奖励性绩效</w:t>
      </w:r>
      <w:r>
        <w:rPr>
          <w:rFonts w:hint="eastAsia" w:ascii="仿宋" w:hAnsi="仿宋" w:eastAsia="仿宋" w:cs="仿宋"/>
          <w:b w:val="0"/>
          <w:bCs w:val="0"/>
          <w:color w:val="auto"/>
          <w:sz w:val="32"/>
          <w:szCs w:val="32"/>
          <w:lang w:eastAsia="zh-CN"/>
        </w:rPr>
        <w:t>。</w:t>
      </w:r>
    </w:p>
    <w:p w14:paraId="40837F12">
      <w:pPr>
        <w:spacing w:line="560" w:lineRule="exact"/>
        <w:ind w:firstLine="640" w:firstLineChars="200"/>
        <w:rPr>
          <w:rFonts w:ascii="仿宋" w:hAnsi="仿宋" w:eastAsia="仿宋" w:cs="仿宋"/>
          <w:b w:val="0"/>
          <w:bCs w:val="0"/>
          <w:strike/>
          <w:color w:val="auto"/>
          <w:sz w:val="32"/>
          <w:szCs w:val="32"/>
        </w:rPr>
      </w:pPr>
      <w:r>
        <w:rPr>
          <w:rFonts w:hint="eastAsia" w:ascii="仿宋" w:hAnsi="仿宋" w:eastAsia="仿宋" w:cs="仿宋"/>
          <w:b w:val="0"/>
          <w:bCs w:val="0"/>
          <w:strike w:val="0"/>
          <w:color w:val="auto"/>
          <w:sz w:val="32"/>
          <w:szCs w:val="32"/>
        </w:rPr>
        <w:t>职能部门目标奖励性绩效超出部分由学校党委会根据</w:t>
      </w:r>
      <w:r>
        <w:rPr>
          <w:rFonts w:hint="eastAsia" w:ascii="仿宋" w:hAnsi="仿宋" w:eastAsia="仿宋" w:cs="仿宋"/>
          <w:b w:val="0"/>
          <w:bCs w:val="0"/>
          <w:color w:val="auto"/>
          <w:sz w:val="32"/>
          <w:szCs w:val="32"/>
        </w:rPr>
        <w:t>奖励性绩效总量</w:t>
      </w:r>
      <w:r>
        <w:rPr>
          <w:rFonts w:hint="eastAsia" w:ascii="仿宋" w:hAnsi="仿宋" w:eastAsia="仿宋" w:cs="仿宋"/>
          <w:b w:val="0"/>
          <w:bCs w:val="0"/>
          <w:strike w:val="0"/>
          <w:color w:val="auto"/>
          <w:sz w:val="32"/>
          <w:szCs w:val="32"/>
        </w:rPr>
        <w:t>予以发放。</w:t>
      </w:r>
    </w:p>
    <w:p w14:paraId="657E5303">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2、校级专项奖励性绩效</w:t>
      </w:r>
    </w:p>
    <w:p w14:paraId="71CC50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校级专项奖励性绩效由学校在上级核定的绩效工资总量内自主制定分配办法，计入奖励性绩效工资总额进行统筹分配。根据学校实际，校级专项奖励性绩效设立教学业绩奖励性绩效、科研业绩奖励性绩效、</w:t>
      </w:r>
      <w:r>
        <w:rPr>
          <w:rFonts w:hint="eastAsia" w:ascii="仿宋" w:hAnsi="仿宋" w:eastAsia="仿宋" w:cs="仿宋"/>
          <w:b w:val="0"/>
          <w:bCs w:val="0"/>
          <w:sz w:val="32"/>
          <w:szCs w:val="32"/>
          <w:lang w:val="en-US" w:eastAsia="zh-CN"/>
        </w:rPr>
        <w:t>教育工作量</w:t>
      </w:r>
      <w:r>
        <w:rPr>
          <w:rFonts w:hint="eastAsia" w:ascii="仿宋" w:hAnsi="仿宋" w:eastAsia="仿宋" w:cs="仿宋"/>
          <w:b w:val="0"/>
          <w:bCs w:val="0"/>
          <w:sz w:val="32"/>
          <w:szCs w:val="32"/>
        </w:rPr>
        <w:t>、行政管理绩效奖、考核及先进奖励性绩效和其他奖励性绩效等项目。</w:t>
      </w:r>
    </w:p>
    <w:p w14:paraId="5C4960EF">
      <w:pPr>
        <w:widowControl/>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（1）教学业绩奖励性绩效</w:t>
      </w:r>
    </w:p>
    <w:p w14:paraId="0426D3C3">
      <w:pPr>
        <w:widowControl/>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是指教学人员超额完成教学工作任务而获得的奖励性</w:t>
      </w:r>
      <w:r>
        <w:rPr>
          <w:rFonts w:hint="eastAsia" w:ascii="仿宋" w:hAnsi="仿宋" w:eastAsia="仿宋" w:cs="仿宋"/>
          <w:b w:val="0"/>
          <w:bCs w:val="0"/>
          <w:color w:val="auto"/>
          <w:sz w:val="32"/>
          <w:szCs w:val="32"/>
        </w:rPr>
        <w:t>绩效，</w:t>
      </w:r>
      <w:r>
        <w:rPr>
          <w:rFonts w:hint="eastAsia" w:ascii="仿宋" w:hAnsi="仿宋" w:eastAsia="仿宋" w:cs="仿宋"/>
          <w:b w:val="0"/>
          <w:bCs w:val="0"/>
          <w:color w:val="auto"/>
          <w:sz w:val="32"/>
          <w:szCs w:val="32"/>
          <w:shd w:val="clear" w:color="auto" w:fill="auto"/>
        </w:rPr>
        <w:t>由学校党委会下达</w:t>
      </w:r>
      <w:r>
        <w:rPr>
          <w:rFonts w:hint="eastAsia" w:ascii="仿宋" w:hAnsi="仿宋" w:eastAsia="仿宋" w:cs="仿宋"/>
          <w:b w:val="0"/>
          <w:bCs w:val="0"/>
          <w:color w:val="auto"/>
          <w:sz w:val="32"/>
          <w:szCs w:val="32"/>
          <w:shd w:val="clear" w:color="auto" w:fill="auto"/>
          <w:lang w:val="en-US" w:eastAsia="zh-CN"/>
        </w:rPr>
        <w:t>教学</w:t>
      </w:r>
      <w:r>
        <w:rPr>
          <w:rFonts w:hint="eastAsia" w:ascii="仿宋" w:hAnsi="仿宋" w:eastAsia="仿宋" w:cs="仿宋"/>
          <w:b w:val="0"/>
          <w:bCs w:val="0"/>
          <w:color w:val="auto"/>
          <w:sz w:val="32"/>
          <w:szCs w:val="32"/>
          <w:shd w:val="clear" w:color="auto" w:fill="auto"/>
        </w:rPr>
        <w:t>业绩奖励性绩效总额，</w:t>
      </w:r>
      <w:r>
        <w:rPr>
          <w:rFonts w:hint="eastAsia" w:ascii="仿宋" w:hAnsi="仿宋" w:eastAsia="仿宋" w:cs="仿宋"/>
          <w:b w:val="0"/>
          <w:bCs w:val="0"/>
          <w:color w:val="auto"/>
          <w:sz w:val="32"/>
          <w:szCs w:val="32"/>
        </w:rPr>
        <w:t>具体实施办法按照学校教师工作量计算办法等相关</w:t>
      </w:r>
      <w:r>
        <w:rPr>
          <w:rFonts w:hint="eastAsia" w:ascii="仿宋" w:hAnsi="仿宋" w:eastAsia="仿宋" w:cs="仿宋"/>
          <w:b w:val="0"/>
          <w:bCs w:val="0"/>
          <w:sz w:val="32"/>
          <w:szCs w:val="32"/>
        </w:rPr>
        <w:t>文件规定执行。</w:t>
      </w:r>
    </w:p>
    <w:p w14:paraId="03F0F231">
      <w:pPr>
        <w:widowControl/>
        <w:numPr>
          <w:ilvl w:val="0"/>
          <w:numId w:val="3"/>
        </w:num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科研业绩奖励性绩效</w:t>
      </w:r>
    </w:p>
    <w:p w14:paraId="39D42568">
      <w:pPr>
        <w:widowControl/>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主要是指超额完成科研工作任务而获得的奖励性绩效。由学校党委会下达科研业绩奖励性绩效总额，具体实施办法按照学校岗位科研管理量管理办法等相关文件规定执行。</w:t>
      </w:r>
    </w:p>
    <w:p w14:paraId="54998AA0">
      <w:pPr>
        <w:widowControl/>
        <w:numPr>
          <w:ilvl w:val="0"/>
          <w:numId w:val="3"/>
        </w:numPr>
        <w:ind w:left="0" w:leftChars="0"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教育工作量</w:t>
      </w:r>
    </w:p>
    <w:p w14:paraId="75E9498B">
      <w:pPr>
        <w:widowControl/>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主要包含教学管理工作量、</w:t>
      </w:r>
      <w:r>
        <w:rPr>
          <w:rFonts w:hint="eastAsia" w:ascii="仿宋" w:hAnsi="仿宋" w:eastAsia="仿宋" w:cs="仿宋"/>
          <w:b w:val="0"/>
          <w:bCs w:val="0"/>
          <w:color w:val="auto"/>
          <w:sz w:val="32"/>
          <w:szCs w:val="32"/>
        </w:rPr>
        <w:t>质量工程项目奖励性绩效</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班主任工作量</w:t>
      </w:r>
      <w:r>
        <w:rPr>
          <w:rFonts w:hint="eastAsia" w:ascii="仿宋" w:hAnsi="仿宋" w:eastAsia="仿宋" w:cs="仿宋"/>
          <w:b w:val="0"/>
          <w:bCs w:val="0"/>
          <w:color w:val="auto"/>
          <w:sz w:val="32"/>
          <w:szCs w:val="32"/>
          <w:lang w:val="en-US" w:eastAsia="zh-CN"/>
        </w:rPr>
        <w:t>和服务工作量</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教育工作量</w:t>
      </w:r>
      <w:r>
        <w:rPr>
          <w:rFonts w:hint="eastAsia" w:ascii="仿宋" w:hAnsi="仿宋" w:eastAsia="仿宋" w:cs="仿宋"/>
          <w:b w:val="0"/>
          <w:bCs w:val="0"/>
          <w:color w:val="auto"/>
          <w:sz w:val="32"/>
          <w:szCs w:val="32"/>
        </w:rPr>
        <w:t>由学校党委会下达总额，</w:t>
      </w:r>
      <w:r>
        <w:rPr>
          <w:rFonts w:hint="eastAsia" w:ascii="仿宋" w:hAnsi="仿宋" w:eastAsia="仿宋" w:cs="仿宋"/>
          <w:b w:val="0"/>
          <w:bCs w:val="0"/>
          <w:color w:val="auto"/>
          <w:sz w:val="32"/>
          <w:szCs w:val="32"/>
          <w:lang w:val="en-US" w:eastAsia="zh-CN"/>
        </w:rPr>
        <w:t>经相关部门核定后予以发放。</w:t>
      </w:r>
    </w:p>
    <w:p w14:paraId="5D574264">
      <w:pPr>
        <w:widowControl/>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教学管理工作量和</w:t>
      </w:r>
      <w:r>
        <w:rPr>
          <w:rFonts w:hint="eastAsia" w:ascii="仿宋" w:hAnsi="仿宋" w:eastAsia="仿宋" w:cs="仿宋"/>
          <w:b w:val="0"/>
          <w:bCs w:val="0"/>
          <w:color w:val="auto"/>
          <w:sz w:val="32"/>
          <w:szCs w:val="32"/>
        </w:rPr>
        <w:t>质量工程项目奖励性绩效</w:t>
      </w:r>
      <w:r>
        <w:rPr>
          <w:rFonts w:hint="eastAsia" w:ascii="仿宋" w:hAnsi="仿宋" w:eastAsia="仿宋" w:cs="仿宋"/>
          <w:b w:val="0"/>
          <w:bCs w:val="0"/>
          <w:color w:val="auto"/>
          <w:sz w:val="32"/>
          <w:szCs w:val="32"/>
          <w:lang w:val="en-US" w:eastAsia="zh-CN"/>
        </w:rPr>
        <w:t>由教务处根据下达的绩效总额按照相关文件规定核拨给各部门后予以发放；</w:t>
      </w:r>
      <w:r>
        <w:rPr>
          <w:rFonts w:hint="eastAsia" w:ascii="仿宋" w:hAnsi="仿宋" w:eastAsia="仿宋" w:cs="仿宋"/>
          <w:b w:val="0"/>
          <w:bCs w:val="0"/>
          <w:color w:val="auto"/>
          <w:sz w:val="32"/>
          <w:szCs w:val="32"/>
        </w:rPr>
        <w:t>班主任工作量</w:t>
      </w:r>
      <w:r>
        <w:rPr>
          <w:rFonts w:hint="eastAsia" w:ascii="仿宋" w:hAnsi="仿宋" w:eastAsia="仿宋" w:cs="仿宋"/>
          <w:b w:val="0"/>
          <w:bCs w:val="0"/>
          <w:color w:val="auto"/>
          <w:sz w:val="32"/>
          <w:szCs w:val="32"/>
          <w:lang w:val="en-US" w:eastAsia="zh-CN"/>
        </w:rPr>
        <w:t>由学工处根据下达的绩效总额按照相关文件规定核拨给各部门后予以发放；服务工作量由人事处根据下达的绩效总额按照相关文件规定予以发放。</w:t>
      </w:r>
    </w:p>
    <w:p w14:paraId="53F15ED6">
      <w:pPr>
        <w:widowControl/>
        <w:numPr>
          <w:ilvl w:val="0"/>
          <w:numId w:val="3"/>
        </w:num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行政管理绩效奖</w:t>
      </w:r>
    </w:p>
    <w:p w14:paraId="7E27A228">
      <w:pPr>
        <w:widowControl/>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color w:val="auto"/>
          <w:sz w:val="32"/>
          <w:szCs w:val="32"/>
        </w:rPr>
        <w:t>管理人员、在学校机关的其他专技和工勤人员增发1.5个月的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奖励绩效；二级学院（部）正、副院长或主任，二级学院副书记、双肩挑人员、专职实验室管理员、借调人员增发0.8个月的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奖励绩效</w:t>
      </w:r>
      <w:r>
        <w:rPr>
          <w:rFonts w:hint="eastAsia" w:ascii="仿宋" w:hAnsi="仿宋" w:eastAsia="仿宋" w:cs="仿宋"/>
          <w:b w:val="0"/>
          <w:bCs w:val="0"/>
          <w:sz w:val="32"/>
          <w:szCs w:val="32"/>
        </w:rPr>
        <w:t>。</w:t>
      </w:r>
    </w:p>
    <w:p w14:paraId="324EAEBC">
      <w:pPr>
        <w:widowControl/>
        <w:numPr>
          <w:ilvl w:val="0"/>
          <w:numId w:val="3"/>
        </w:num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考核及先进奖励性绩效</w:t>
      </w:r>
    </w:p>
    <w:p w14:paraId="15C47303">
      <w:pPr>
        <w:widowControl/>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学校根据部门综合考核、年度考核、教学科研业绩考核及学校荣誉体系管理办法等相关规定发放的奖励性绩效，具体标准及发放情况按照学校相关规定执行。</w:t>
      </w:r>
    </w:p>
    <w:p w14:paraId="710E4F7A">
      <w:pPr>
        <w:widowControl/>
        <w:numPr>
          <w:ilvl w:val="0"/>
          <w:numId w:val="3"/>
        </w:num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其他奖励性绩效</w:t>
      </w:r>
    </w:p>
    <w:p w14:paraId="5C316810">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主要是指除上述奖励性绩效以外的其他奖励性绩效，由学校在上级核定的总量内</w:t>
      </w:r>
      <w:r>
        <w:rPr>
          <w:rFonts w:hint="eastAsia" w:ascii="仿宋" w:hAnsi="仿宋" w:eastAsia="仿宋" w:cs="仿宋"/>
          <w:b w:val="0"/>
          <w:bCs w:val="0"/>
          <w:color w:val="auto"/>
          <w:sz w:val="32"/>
          <w:szCs w:val="32"/>
          <w:lang w:val="en-US" w:eastAsia="zh-CN"/>
        </w:rPr>
        <w:t>按照相关规定</w:t>
      </w:r>
      <w:r>
        <w:rPr>
          <w:rFonts w:hint="eastAsia" w:ascii="仿宋" w:hAnsi="仿宋" w:eastAsia="仿宋" w:cs="仿宋"/>
          <w:b w:val="0"/>
          <w:bCs w:val="0"/>
          <w:color w:val="auto"/>
          <w:sz w:val="32"/>
          <w:szCs w:val="32"/>
        </w:rPr>
        <w:t>发放。</w:t>
      </w:r>
    </w:p>
    <w:p w14:paraId="1015558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省级专项奖励性绩效</w:t>
      </w:r>
    </w:p>
    <w:p w14:paraId="254A424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省级专项绩效工资由学校在上级核定的省级专项绩效工资总量内自主制定分配办法。根据学校实际，省级专项绩效设立科技成果转化、科研绩效、校企合作、技能培训和思政专项奖励性绩效五个项目。</w:t>
      </w:r>
    </w:p>
    <w:p w14:paraId="7E2A2BBA">
      <w:pPr>
        <w:numPr>
          <w:ilvl w:val="0"/>
          <w:numId w:val="4"/>
        </w:num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科技成果转化奖励性绩效</w:t>
      </w:r>
    </w:p>
    <w:p w14:paraId="751A74E3">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科技成果转化按照学校岗位科研工作量管理办法相关规定执行。</w:t>
      </w:r>
    </w:p>
    <w:p w14:paraId="05AB37C2">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（2）科研绩效</w:t>
      </w:r>
    </w:p>
    <w:p w14:paraId="75A8925C">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按科研经费管理有关规定列入“间接费用”支出项目中主要体现工作实绩和激励功能的绩效支出，纳入科研绩效支出。在省人社厅、教育厅批复的科研绩效额度内，按照学校科研经费管理相关规定执行。</w:t>
      </w:r>
    </w:p>
    <w:p w14:paraId="06C8674D">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（3）校企合作奖励性绩效</w:t>
      </w:r>
    </w:p>
    <w:p w14:paraId="6191C63E">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在省人社厅、教育厅批复的校企合作额度内，按照学校校企合作管理相关规定执行。</w:t>
      </w:r>
    </w:p>
    <w:p w14:paraId="76AB3E05">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（4）技能培训奖励性绩效</w:t>
      </w:r>
    </w:p>
    <w:p w14:paraId="6BD75F6B">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主要是指成人高等学历教育、各类培训、各类继续教育考试培训合作项目所产生的工作量。在省人社厅、教育厅批复的技能培训额度内，按照学校继续教育管理相关规定执行。</w:t>
      </w:r>
    </w:p>
    <w:p w14:paraId="54B05152">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（5）思政专项奖励性绩效</w:t>
      </w:r>
    </w:p>
    <w:p w14:paraId="01249806">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辅导员津贴按照学校专职辅导员岗位津贴管理相关规定执行；思政课教师津贴的发放按照学校专职思想政治理论课教师岗位津贴管理相关规定执行。</w:t>
      </w:r>
    </w:p>
    <w:p w14:paraId="1CCA088E">
      <w:pPr>
        <w:spacing w:line="560" w:lineRule="exact"/>
        <w:ind w:left="420" w:leftChars="200"/>
        <w:rPr>
          <w:rFonts w:ascii="黑体" w:hAnsi="黑体" w:eastAsia="黑体" w:cs="黑体"/>
          <w:b w:val="0"/>
          <w:bCs w:val="0"/>
          <w:sz w:val="32"/>
          <w:szCs w:val="32"/>
        </w:rPr>
      </w:pPr>
      <w:r>
        <w:rPr>
          <w:rFonts w:hint="eastAsia" w:ascii="黑体" w:hAnsi="黑体" w:eastAsia="黑体" w:cs="黑体"/>
          <w:b w:val="0"/>
          <w:bCs w:val="0"/>
          <w:sz w:val="32"/>
          <w:szCs w:val="32"/>
        </w:rPr>
        <w:t>七、考核工作与</w:t>
      </w:r>
      <w:r>
        <w:rPr>
          <w:rFonts w:hint="eastAsia" w:ascii="黑体" w:hAnsi="黑体" w:eastAsia="黑体"/>
          <w:b w:val="0"/>
          <w:bCs w:val="0"/>
          <w:sz w:val="32"/>
          <w:szCs w:val="32"/>
        </w:rPr>
        <w:t>绩效工资管理</w:t>
      </w:r>
    </w:p>
    <w:p w14:paraId="4C737ED0">
      <w:pPr>
        <w:spacing w:line="56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（一）考核工作</w:t>
      </w:r>
    </w:p>
    <w:p w14:paraId="601D71E2">
      <w:pPr>
        <w:spacing w:line="56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rPr>
        <w:t>1、考核工作根据聘任权限由相关部门或单位组织，考核分为年度考核</w:t>
      </w:r>
      <w:r>
        <w:rPr>
          <w:rFonts w:hint="eastAsia" w:ascii="仿宋" w:hAnsi="仿宋" w:eastAsia="仿宋" w:cs="仿宋"/>
          <w:b w:val="0"/>
          <w:bCs w:val="0"/>
          <w:color w:val="auto"/>
          <w:sz w:val="32"/>
          <w:szCs w:val="32"/>
        </w:rPr>
        <w:t>和聘期考核。聘期考核在聘期结束时进行</w:t>
      </w:r>
      <w:r>
        <w:rPr>
          <w:rFonts w:hint="eastAsia" w:ascii="仿宋" w:hAnsi="仿宋" w:eastAsia="仿宋" w:cs="仿宋"/>
          <w:b w:val="0"/>
          <w:bCs w:val="0"/>
          <w:color w:val="auto"/>
          <w:sz w:val="32"/>
          <w:szCs w:val="32"/>
          <w:lang w:eastAsia="zh-CN"/>
        </w:rPr>
        <w:t>。</w:t>
      </w:r>
    </w:p>
    <w:p w14:paraId="3BF16E73">
      <w:pPr>
        <w:spacing w:line="56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年度考核在每年年底或次年初进行，年度考核结果是绩效工资发放的主要依据。</w:t>
      </w:r>
    </w:p>
    <w:p w14:paraId="3C41C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2、根据年度考核结果核拨</w:t>
      </w:r>
      <w:r>
        <w:rPr>
          <w:rFonts w:hint="eastAsia" w:ascii="仿宋" w:hAnsi="仿宋" w:eastAsia="仿宋" w:cs="仿宋"/>
          <w:b w:val="0"/>
          <w:bCs w:val="0"/>
          <w:color w:val="auto"/>
          <w:sz w:val="32"/>
          <w:szCs w:val="32"/>
          <w:lang w:val="en-US" w:eastAsia="zh-CN"/>
        </w:rPr>
        <w:t>/发放</w:t>
      </w:r>
      <w:r>
        <w:rPr>
          <w:rFonts w:hint="eastAsia" w:ascii="仿宋" w:hAnsi="仿宋" w:eastAsia="仿宋" w:cs="仿宋"/>
          <w:b w:val="0"/>
          <w:bCs w:val="0"/>
          <w:color w:val="auto"/>
          <w:sz w:val="32"/>
          <w:szCs w:val="32"/>
        </w:rPr>
        <w:t>目标奖励性绩效。年度考核为优秀者增发2000元，考核为合格者核拨</w:t>
      </w:r>
      <w:r>
        <w:rPr>
          <w:rFonts w:hint="eastAsia" w:ascii="仿宋" w:hAnsi="仿宋" w:eastAsia="仿宋" w:cs="仿宋"/>
          <w:b w:val="0"/>
          <w:bCs w:val="0"/>
          <w:color w:val="auto"/>
          <w:sz w:val="32"/>
          <w:szCs w:val="32"/>
          <w:lang w:val="en-US" w:eastAsia="zh-CN"/>
        </w:rPr>
        <w:t>/发放</w:t>
      </w:r>
      <w:r>
        <w:rPr>
          <w:rFonts w:hint="eastAsia" w:ascii="仿宋" w:hAnsi="仿宋" w:eastAsia="仿宋" w:cs="仿宋"/>
          <w:b w:val="0"/>
          <w:bCs w:val="0"/>
          <w:color w:val="auto"/>
          <w:sz w:val="32"/>
          <w:szCs w:val="32"/>
        </w:rPr>
        <w:t>年终目标奖励性绩效，考核为基本合格者目标奖励性绩效按85％核拨</w:t>
      </w:r>
      <w:r>
        <w:rPr>
          <w:rFonts w:hint="eastAsia" w:ascii="仿宋" w:hAnsi="仿宋" w:eastAsia="仿宋" w:cs="仿宋"/>
          <w:b w:val="0"/>
          <w:bCs w:val="0"/>
          <w:color w:val="auto"/>
          <w:sz w:val="32"/>
          <w:szCs w:val="32"/>
          <w:lang w:val="en-US" w:eastAsia="zh-CN"/>
        </w:rPr>
        <w:t>/发放</w:t>
      </w:r>
      <w:r>
        <w:rPr>
          <w:rFonts w:hint="eastAsia" w:ascii="仿宋" w:hAnsi="仿宋" w:eastAsia="仿宋" w:cs="仿宋"/>
          <w:b w:val="0"/>
          <w:bCs w:val="0"/>
          <w:color w:val="auto"/>
          <w:sz w:val="32"/>
          <w:szCs w:val="32"/>
        </w:rPr>
        <w:t>；考核为不合格者目标奖励性绩效取消核拨</w:t>
      </w:r>
      <w:r>
        <w:rPr>
          <w:rFonts w:hint="eastAsia" w:ascii="仿宋" w:hAnsi="仿宋" w:eastAsia="仿宋" w:cs="仿宋"/>
          <w:b w:val="0"/>
          <w:bCs w:val="0"/>
          <w:color w:val="auto"/>
          <w:sz w:val="32"/>
          <w:szCs w:val="32"/>
          <w:lang w:val="en-US" w:eastAsia="zh-CN"/>
        </w:rPr>
        <w:t>/发放。</w:t>
      </w:r>
    </w:p>
    <w:p w14:paraId="0FDD5AC8">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color w:val="auto"/>
          <w:sz w:val="32"/>
          <w:szCs w:val="32"/>
        </w:rPr>
        <w:t>年度考核结果为基本合格或不合格人员，其基础性绩效工资中的岗位津贴从年度考核结果审核备案的次月起分别停发3个月、6个月，岗位津贴停发期间，其</w:t>
      </w:r>
      <w:r>
        <w:rPr>
          <w:rFonts w:hint="eastAsia" w:ascii="仿宋" w:hAnsi="仿宋" w:eastAsia="仿宋" w:cs="仿宋"/>
          <w:color w:val="auto"/>
          <w:sz w:val="32"/>
          <w:szCs w:val="32"/>
          <w:lang w:val="en-US" w:eastAsia="zh-CN"/>
        </w:rPr>
        <w:t>基础</w:t>
      </w:r>
      <w:r>
        <w:rPr>
          <w:rFonts w:hint="eastAsia" w:ascii="仿宋" w:hAnsi="仿宋" w:eastAsia="仿宋" w:cs="仿宋"/>
          <w:color w:val="auto"/>
          <w:sz w:val="32"/>
          <w:szCs w:val="32"/>
        </w:rPr>
        <w:t>奖励性绩效津贴停止发放，生活补贴按原标准发放。</w:t>
      </w:r>
    </w:p>
    <w:p w14:paraId="7ED8FFF9">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受处分人员处分期内基础性绩效工资中的岗位津贴与基础岗位奖励性绩效减半发放。</w:t>
      </w:r>
    </w:p>
    <w:p w14:paraId="6BC5E358">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color w:val="auto"/>
          <w:sz w:val="32"/>
          <w:szCs w:val="32"/>
        </w:rPr>
        <w:t>5、学校年终教师教学科研工作进行考核，按照考核结果，教师可以同时享受“年度考核为优秀者增发2000元</w:t>
      </w:r>
      <w:r>
        <w:rPr>
          <w:rFonts w:hint="eastAsia" w:ascii="仿宋" w:hAnsi="仿宋" w:eastAsia="仿宋" w:cs="仿宋"/>
          <w:b w:val="0"/>
          <w:bCs w:val="0"/>
          <w:sz w:val="32"/>
          <w:szCs w:val="32"/>
        </w:rPr>
        <w:t>”和“教学科研业绩考核排名在前30％的增发1000元”的待遇，其中年度考核为优秀者须在教学科研业绩考核优秀人员中产生。</w:t>
      </w:r>
    </w:p>
    <w:p w14:paraId="4C74B63E">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6、专技系列中的纯教学人员教学科研业绩考核由各二级学院（部）进行组织；借调人员、双肩挑人员以及各二级学院（部）正、副院长同时按照教师岗位和管理岗位进行考核。</w:t>
      </w:r>
    </w:p>
    <w:p w14:paraId="18CE1F7D">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、出现教学事故的，按照学校有关规定执行，相关规定由教务处另行制定。</w:t>
      </w:r>
    </w:p>
    <w:p w14:paraId="523972E9">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8、各类人员的考核办法另行制定。</w:t>
      </w:r>
    </w:p>
    <w:p w14:paraId="7D073DA1">
      <w:pPr>
        <w:spacing w:line="560" w:lineRule="exact"/>
        <w:ind w:firstLine="640" w:firstLineChars="200"/>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（二）绩效工资管理</w:t>
      </w:r>
    </w:p>
    <w:p w14:paraId="25BE56FD">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1、奖励性绩效工资必须在岗位聘任的基础上实施</w:t>
      </w:r>
    </w:p>
    <w:p w14:paraId="501F3721">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奖励性绩效工资必须在岗位聘任的基础上实施，对岗位受聘人员实行聘约管理，岗位聘任经学校批准后可执行相应的奖励性绩效</w:t>
      </w:r>
      <w:r>
        <w:rPr>
          <w:rFonts w:hint="eastAsia" w:ascii="仿宋" w:hAnsi="仿宋" w:eastAsia="仿宋" w:cs="仿宋"/>
          <w:b w:val="0"/>
          <w:bCs w:val="0"/>
          <w:sz w:val="32"/>
          <w:szCs w:val="32"/>
          <w:lang w:val="en-US" w:eastAsia="zh-CN"/>
        </w:rPr>
        <w:t>工资</w:t>
      </w:r>
      <w:r>
        <w:rPr>
          <w:rFonts w:hint="eastAsia" w:ascii="仿宋" w:hAnsi="仿宋" w:eastAsia="仿宋" w:cs="仿宋"/>
          <w:b w:val="0"/>
          <w:bCs w:val="0"/>
          <w:sz w:val="32"/>
          <w:szCs w:val="32"/>
        </w:rPr>
        <w:t>档级。</w:t>
      </w:r>
    </w:p>
    <w:p w14:paraId="1565D5F8">
      <w:pPr>
        <w:numPr>
          <w:ilvl w:val="0"/>
          <w:numId w:val="5"/>
        </w:num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自主分配要求</w:t>
      </w:r>
    </w:p>
    <w:p w14:paraId="2F0AFFEF">
      <w:pPr>
        <w:widowControl/>
        <w:spacing w:line="560" w:lineRule="exact"/>
        <w:ind w:firstLine="640" w:firstLineChars="200"/>
        <w:jc w:val="left"/>
        <w:rPr>
          <w:rFonts w:ascii="仿宋" w:hAnsi="仿宋" w:eastAsia="仿宋" w:cs="仿宋"/>
          <w:b w:val="0"/>
          <w:bCs w:val="0"/>
          <w:color w:val="FF0000"/>
          <w:sz w:val="32"/>
          <w:szCs w:val="32"/>
        </w:rPr>
      </w:pPr>
      <w:r>
        <w:rPr>
          <w:rFonts w:hint="eastAsia" w:ascii="仿宋" w:hAnsi="仿宋" w:eastAsia="仿宋" w:cs="仿宋"/>
          <w:b w:val="0"/>
          <w:bCs w:val="0"/>
          <w:sz w:val="32"/>
          <w:szCs w:val="32"/>
        </w:rPr>
        <w:t>学校划拨给各二级学院（部）自主分配的绩效工资，由各二级学院（部）根据教职工平时表现和业绩考核情况进行分配。自主分配时应坚持按劳分配、优绩优酬的原则，合理拉开差距。自主分配的具体项目、标准等，由各二级学院（部）在</w:t>
      </w:r>
      <w:r>
        <w:rPr>
          <w:rFonts w:hint="eastAsia" w:ascii="仿宋" w:hAnsi="仿宋" w:eastAsia="仿宋" w:cs="仿宋"/>
          <w:b w:val="0"/>
          <w:bCs w:val="0"/>
          <w:color w:val="auto"/>
          <w:sz w:val="32"/>
          <w:szCs w:val="32"/>
        </w:rPr>
        <w:t>学校</w:t>
      </w:r>
      <w:r>
        <w:rPr>
          <w:rFonts w:hint="eastAsia" w:ascii="仿宋" w:hAnsi="仿宋" w:eastAsia="仿宋" w:cs="仿宋"/>
          <w:b w:val="0"/>
          <w:bCs w:val="0"/>
          <w:color w:val="auto"/>
          <w:sz w:val="32"/>
          <w:szCs w:val="32"/>
          <w:lang w:val="en-US" w:eastAsia="zh-CN"/>
        </w:rPr>
        <w:t>核</w:t>
      </w:r>
      <w:r>
        <w:rPr>
          <w:rFonts w:hint="eastAsia" w:ascii="仿宋" w:hAnsi="仿宋" w:eastAsia="仿宋" w:cs="仿宋"/>
          <w:b w:val="0"/>
          <w:bCs w:val="0"/>
          <w:color w:val="auto"/>
          <w:sz w:val="32"/>
          <w:szCs w:val="32"/>
        </w:rPr>
        <w:t>拨的总量内自主确定。其中面向专任教师的分配项目，重点考虑教学科</w:t>
      </w:r>
      <w:r>
        <w:rPr>
          <w:rFonts w:hint="eastAsia" w:ascii="仿宋" w:hAnsi="仿宋" w:eastAsia="仿宋" w:cs="仿宋"/>
          <w:b w:val="0"/>
          <w:bCs w:val="0"/>
          <w:sz w:val="32"/>
          <w:szCs w:val="32"/>
        </w:rPr>
        <w:t>研等任务承担情况及业绩成果。对于未纳入学校统筹发放范围的常规性或临时性工作事务，在自主分配时应适当体现相关工作人员的劳动付出，确保各项工作正常有序开展。各二级学院（部）的绩效工资的分配应贯彻公开透明原则，主动接受有关部门和教职工的监督。</w:t>
      </w:r>
    </w:p>
    <w:p w14:paraId="25A99BC0">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3、“双肩挑”人员聘任和奖励性绩效</w:t>
      </w:r>
      <w:r>
        <w:rPr>
          <w:rFonts w:hint="eastAsia" w:ascii="仿宋" w:hAnsi="仿宋" w:eastAsia="仿宋" w:cs="仿宋"/>
          <w:b w:val="0"/>
          <w:bCs w:val="0"/>
          <w:sz w:val="32"/>
          <w:szCs w:val="32"/>
          <w:lang w:val="en-US" w:eastAsia="zh-CN"/>
        </w:rPr>
        <w:t>工资</w:t>
      </w:r>
    </w:p>
    <w:p w14:paraId="65B93439">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双肩挑”指具有专任教师系列（教学、科研）高级专业技术职务，因工作需要现在管理岗位工作，并且仍继续承担部分教学科研工作的人员，高等职业院校“双肩挑”岗位设在七级及以上具有领导职务的职员岗位。“双肩挑”人员的岗位工资、薪级工资、</w:t>
      </w:r>
      <w:r>
        <w:rPr>
          <w:rFonts w:hint="eastAsia" w:ascii="仿宋" w:hAnsi="仿宋" w:eastAsia="仿宋" w:cs="仿宋"/>
          <w:b w:val="0"/>
          <w:bCs w:val="0"/>
          <w:color w:val="auto"/>
          <w:sz w:val="32"/>
          <w:szCs w:val="32"/>
        </w:rPr>
        <w:t>基础性绩效工资</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基础性绩效增核</w:t>
      </w:r>
      <w:r>
        <w:rPr>
          <w:rFonts w:hint="eastAsia" w:ascii="仿宋" w:hAnsi="仿宋" w:eastAsia="仿宋" w:cs="仿宋"/>
          <w:b w:val="0"/>
          <w:bCs w:val="0"/>
          <w:color w:val="auto"/>
          <w:sz w:val="32"/>
          <w:szCs w:val="32"/>
        </w:rPr>
        <w:t>必须为专技系列，</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奖励性绩效津贴可以在专技系列和管理系列二者中选择，选定后聘期内不得变动</w:t>
      </w:r>
      <w:r>
        <w:rPr>
          <w:rFonts w:hint="eastAsia" w:ascii="仿宋" w:hAnsi="仿宋" w:eastAsia="仿宋" w:cs="仿宋"/>
          <w:b w:val="0"/>
          <w:bCs w:val="0"/>
          <w:sz w:val="32"/>
          <w:szCs w:val="32"/>
        </w:rPr>
        <w:t>。</w:t>
      </w:r>
    </w:p>
    <w:p w14:paraId="0FB701AA">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“双肩挑”人员聘期内同时按教师岗位和管理岗位进行考核。</w:t>
      </w:r>
    </w:p>
    <w:p w14:paraId="2088347A">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（1）二级学院总支书记</w:t>
      </w:r>
    </w:p>
    <w:p w14:paraId="2630ED28">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①在二级学院工作的总支书记为管理岗位，可以作为管理人员，副教授及以上职称者也可以作为“双肩挑”人员。前者聘期内按照管理岗位考核，后者聘期内同时按教师和管理岗位进行考核。</w:t>
      </w:r>
    </w:p>
    <w:p w14:paraId="2404FB20">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②管理岗人员经学校批准，兼任教学科研等任务的，其完成的教学科研工作量绩分，按学校有关规定执行。</w:t>
      </w:r>
    </w:p>
    <w:p w14:paraId="42B1BFB9">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③“双肩挑”人员必须完成一定的教学科研任务，其完成的教学科研工作量绩分，按学校有关规定执行。</w:t>
      </w:r>
    </w:p>
    <w:p w14:paraId="390747C4">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（2）在学校党政机关工作的“双肩挑”人员</w:t>
      </w:r>
    </w:p>
    <w:p w14:paraId="4E0DA977">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①在学校党政机关具备七</w:t>
      </w:r>
      <w:r>
        <w:rPr>
          <w:rFonts w:hint="eastAsia" w:ascii="仿宋" w:hAnsi="仿宋" w:eastAsia="仿宋" w:cs="仿宋"/>
          <w:b w:val="0"/>
          <w:bCs w:val="0"/>
          <w:color w:val="auto"/>
          <w:sz w:val="32"/>
          <w:szCs w:val="32"/>
        </w:rPr>
        <w:t>级及以上具有领导职务的职员和副教授及以上任职资格人员，可以申请管理岗，在专</w:t>
      </w:r>
      <w:r>
        <w:rPr>
          <w:rFonts w:ascii="仿宋" w:hAnsi="仿宋" w:eastAsia="仿宋" w:cs="仿宋"/>
          <w:b w:val="0"/>
          <w:bCs w:val="0"/>
          <w:color w:val="auto"/>
          <w:sz w:val="32"/>
          <w:szCs w:val="32"/>
        </w:rPr>
        <w:t>业技术性要求较高的综合管理机构</w:t>
      </w:r>
      <w:r>
        <w:rPr>
          <w:rFonts w:hint="eastAsia" w:ascii="仿宋" w:hAnsi="仿宋" w:eastAsia="仿宋" w:cs="仿宋"/>
          <w:b w:val="0"/>
          <w:bCs w:val="0"/>
          <w:color w:val="auto"/>
          <w:sz w:val="32"/>
          <w:szCs w:val="32"/>
        </w:rPr>
        <w:t>可以申请“双肩挑”，前者聘期内按照管理岗位考核，后者聘期内同</w:t>
      </w:r>
      <w:r>
        <w:rPr>
          <w:rFonts w:hint="eastAsia" w:ascii="仿宋" w:hAnsi="仿宋" w:eastAsia="仿宋" w:cs="仿宋"/>
          <w:b w:val="0"/>
          <w:bCs w:val="0"/>
          <w:sz w:val="32"/>
          <w:szCs w:val="32"/>
        </w:rPr>
        <w:t>时按教师岗位和管理岗位进行考核。</w:t>
      </w:r>
    </w:p>
    <w:p w14:paraId="0FCDDC39">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②管理岗人员经学校批准，兼任教学科研等任务的，其完成的教学科研工作量绩分，按学校有关规定执行。</w:t>
      </w:r>
    </w:p>
    <w:p w14:paraId="72B2C8FC">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③“双肩挑”人员必须完成一定的教学科研任务，其完成的教学科研工作量绩分，按学校有关规定执行。</w:t>
      </w:r>
    </w:p>
    <w:p w14:paraId="0B0BD997">
      <w:pPr>
        <w:spacing w:line="560" w:lineRule="exact"/>
        <w:ind w:firstLine="640" w:firstLineChars="200"/>
        <w:rPr>
          <w:rFonts w:ascii="仿宋" w:hAnsi="仿宋" w:eastAsia="仿宋" w:cs="仿宋"/>
          <w:b w:val="0"/>
          <w:bCs w:val="0"/>
          <w:color w:val="FF0000"/>
          <w:sz w:val="32"/>
          <w:szCs w:val="32"/>
        </w:rPr>
      </w:pPr>
      <w:r>
        <w:rPr>
          <w:rFonts w:hint="eastAsia" w:ascii="仿宋" w:hAnsi="仿宋" w:eastAsia="仿宋" w:cs="仿宋"/>
          <w:b w:val="0"/>
          <w:bCs w:val="0"/>
          <w:sz w:val="32"/>
          <w:szCs w:val="32"/>
        </w:rPr>
        <w:t>4、管理人员聘任和奖励性绩效</w:t>
      </w:r>
    </w:p>
    <w:p w14:paraId="60D061FB">
      <w:pPr>
        <w:spacing w:line="56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①管理岗位指担负领导职责或管理任务的工作岗位，聘用在管理岗位的人员，已执行了专业技术岗位工资的，可继续执行原专业技术岗位工资，待其晋升的职员职级的岗位工资高于原专业技术岗位工资时，执行相应的职员职级岗位工资。这部分人员的岗位工资只能进入相应层级专业技术岗位的最低等级，不得参加专业技术人员岗位分级，聘期内按管理岗位进行考核。</w:t>
      </w:r>
    </w:p>
    <w:p w14:paraId="21619814">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sz w:val="32"/>
          <w:szCs w:val="32"/>
        </w:rPr>
        <w:t>②管理岗人员经学校批准，兼任教学科研等任务的，其完</w:t>
      </w:r>
      <w:r>
        <w:rPr>
          <w:rFonts w:hint="eastAsia" w:ascii="仿宋" w:hAnsi="仿宋" w:eastAsia="仿宋" w:cs="仿宋"/>
          <w:b w:val="0"/>
          <w:bCs w:val="0"/>
          <w:color w:val="auto"/>
          <w:sz w:val="32"/>
          <w:szCs w:val="32"/>
        </w:rPr>
        <w:t>成的教学科研工作量绩分，按学校有关规定执行。</w:t>
      </w:r>
    </w:p>
    <w:p w14:paraId="06ABE671">
      <w:pPr>
        <w:spacing w:line="560" w:lineRule="exact"/>
        <w:ind w:firstLine="640" w:firstLineChars="200"/>
        <w:rPr>
          <w:rFonts w:ascii="仿宋" w:hAnsi="仿宋" w:eastAsia="仿宋" w:cs="仿宋"/>
          <w:b w:val="0"/>
          <w:bCs w:val="0"/>
          <w:strike/>
          <w:color w:val="auto"/>
          <w:sz w:val="32"/>
          <w:szCs w:val="32"/>
        </w:rPr>
      </w:pPr>
      <w:r>
        <w:rPr>
          <w:rFonts w:hint="eastAsia" w:ascii="仿宋" w:hAnsi="仿宋" w:eastAsia="仿宋" w:cs="仿宋"/>
          <w:b w:val="0"/>
          <w:bCs w:val="0"/>
          <w:color w:val="auto"/>
          <w:sz w:val="32"/>
          <w:szCs w:val="32"/>
        </w:rPr>
        <w:t>③管理岗人员的岗位工资、薪级工资、基础性绩效工资</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基础性绩效增核</w:t>
      </w:r>
      <w:r>
        <w:rPr>
          <w:rFonts w:hint="eastAsia" w:ascii="仿宋" w:hAnsi="仿宋" w:eastAsia="仿宋" w:cs="仿宋"/>
          <w:b w:val="0"/>
          <w:bCs w:val="0"/>
          <w:color w:val="auto"/>
          <w:sz w:val="32"/>
          <w:szCs w:val="32"/>
        </w:rPr>
        <w:t>可以在相应层级专业技术岗位的最低等级、具有教育管理研究系列职称的相应层级的最低等级和管理系列三者中选择，</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可以在具有教育管理研究系列职称的相应层级的最低等级和管理系列二者中选择，选定后聘期内不得变动。</w:t>
      </w:r>
    </w:p>
    <w:p w14:paraId="317F6EBF">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5、新引进人员</w:t>
      </w:r>
    </w:p>
    <w:p w14:paraId="12C9FA71">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①对于新进博士，自入校之日起三年内应申报教学科研岗。前三年按第6档发放岗位奖励性绩效，博士在三年内若不能晋升副教授的，按实际岗位享受岗位奖励性绩效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。另有协议或约定的，按照协议或约定执行。</w:t>
      </w:r>
    </w:p>
    <w:p w14:paraId="1EB5F37F">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新调入人员安排在教师岗位应具有高校教师职务。不具有高校教师职务受聘在教师岗位工作的人员，仍纳入教师岗位管理。但在岗位聘用时只能聘至本层级岗位的最低等级，在没有取得高校教师职务前，不得晋升更高等级岗位。受聘在其他专业技术岗位人员出现同类情况，按照此规定处理。</w:t>
      </w:r>
    </w:p>
    <w:p w14:paraId="3D379D25">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6、其他人员</w:t>
      </w:r>
    </w:p>
    <w:p w14:paraId="2DDAC0E8">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①二级学院副书记的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可以按七级职员、部门副职执行；二级学院分团委书记的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可以按八级职员、部门科长执行。</w:t>
      </w:r>
    </w:p>
    <w:p w14:paraId="428EAFFD">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②二级学院副院长（含主持工作）的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可以按正科级职务执行；二级学院院长的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可以按副处级职务执行。</w:t>
      </w:r>
    </w:p>
    <w:p w14:paraId="4DD800D0">
      <w:pPr>
        <w:spacing w:line="560" w:lineRule="exact"/>
        <w:ind w:firstLine="640" w:firstLineChars="200"/>
        <w:rPr>
          <w:rFonts w:ascii="仿宋" w:hAnsi="仿宋" w:eastAsia="仿宋" w:cs="仿宋"/>
          <w:b w:val="0"/>
          <w:bCs w:val="0"/>
          <w:strike w:val="0"/>
          <w:dstrike w:val="0"/>
          <w:color w:val="auto"/>
          <w:sz w:val="32"/>
          <w:szCs w:val="32"/>
        </w:rPr>
      </w:pPr>
      <w:r>
        <w:rPr>
          <w:rFonts w:hint="eastAsia" w:ascii="仿宋" w:hAnsi="仿宋" w:eastAsia="仿宋" w:cs="仿宋"/>
          <w:b w:val="0"/>
          <w:bCs w:val="0"/>
          <w:strike w:val="0"/>
          <w:dstrike w:val="0"/>
          <w:color w:val="auto"/>
          <w:sz w:val="32"/>
          <w:szCs w:val="32"/>
        </w:rPr>
        <w:t>③承担特别重大的课题或特别重要的其他工作或取得特别重大成果者，经学校办公会议批准，可不受岗位职责及上岗条件中有关要求的限制，直接享受某一档次的奖励性绩效，享受年限由学校党委会讨论决定。</w:t>
      </w:r>
    </w:p>
    <w:p w14:paraId="473BE2F9">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④凡经学校批准的脱产进修人员，按上级文件或学校有关规定执行；下厂实习人员在下企业期间，工资按月享受，若下企业结束经考核不合格，扣发</w:t>
      </w:r>
      <w:r>
        <w:rPr>
          <w:rFonts w:hint="eastAsia" w:ascii="仿宋" w:hAnsi="仿宋" w:eastAsia="仿宋" w:cs="仿宋"/>
          <w:b w:val="0"/>
          <w:bCs w:val="0"/>
          <w:strike w:val="0"/>
          <w:color w:val="auto"/>
          <w:sz w:val="32"/>
          <w:szCs w:val="32"/>
        </w:rPr>
        <w:t>下企业期间</w:t>
      </w:r>
      <w:r>
        <w:rPr>
          <w:rFonts w:hint="eastAsia" w:ascii="仿宋" w:hAnsi="仿宋" w:eastAsia="仿宋" w:cs="仿宋"/>
          <w:b w:val="0"/>
          <w:bCs w:val="0"/>
          <w:color w:val="auto"/>
          <w:sz w:val="32"/>
          <w:szCs w:val="32"/>
          <w:lang w:val="en-US" w:eastAsia="zh-CN"/>
        </w:rPr>
        <w:t>目标</w:t>
      </w:r>
      <w:r>
        <w:rPr>
          <w:rFonts w:hint="eastAsia" w:ascii="仿宋" w:hAnsi="仿宋" w:eastAsia="仿宋" w:cs="仿宋"/>
          <w:b w:val="0"/>
          <w:bCs w:val="0"/>
          <w:color w:val="auto"/>
          <w:sz w:val="32"/>
          <w:szCs w:val="32"/>
        </w:rPr>
        <w:t>奖励性绩效。若经考核，确有成果或表现突出者，学校将给予一定的奖励。</w:t>
      </w:r>
    </w:p>
    <w:p w14:paraId="7F44ADBD">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⑤奖励性绩效工资的发放对象为在岗人员，凡工作量不足又拒绝学校指定任务，将精力主要用于校外个人经营、上课等活动的人员，不享受奖励性绩效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w:t>
      </w:r>
    </w:p>
    <w:p w14:paraId="31739D26">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⑥解聘、缓聘、辞聘、拒聘人员及其它原因离岗者一律停发奖励性绩效工资。</w:t>
      </w:r>
    </w:p>
    <w:p w14:paraId="1709B9DB">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7、不在岗人员</w:t>
      </w:r>
    </w:p>
    <w:p w14:paraId="538E40F3">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①按国家规定享受探亲假、产假、年休假、婚丧假等的教职工，休假期间绩效工资照常发放。</w:t>
      </w:r>
    </w:p>
    <w:p w14:paraId="223CF5AE">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②全年事假累计不超过三天，不扣奖励性绩效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，第四天起至一个月以内的人员每天扣发岗位奖励性绩效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（基础+</w:t>
      </w:r>
      <w:r>
        <w:rPr>
          <w:rFonts w:hint="eastAsia" w:ascii="仿宋" w:hAnsi="仿宋" w:eastAsia="仿宋" w:cs="仿宋"/>
          <w:b w:val="0"/>
          <w:bCs w:val="0"/>
          <w:color w:val="auto"/>
          <w:sz w:val="32"/>
          <w:szCs w:val="32"/>
          <w:lang w:val="en-US" w:eastAsia="zh-CN"/>
        </w:rPr>
        <w:t>目标</w:t>
      </w:r>
      <w:r>
        <w:rPr>
          <w:rFonts w:hint="eastAsia" w:ascii="仿宋" w:hAnsi="仿宋" w:eastAsia="仿宋" w:cs="仿宋"/>
          <w:b w:val="0"/>
          <w:bCs w:val="0"/>
          <w:color w:val="auto"/>
          <w:sz w:val="32"/>
          <w:szCs w:val="32"/>
        </w:rPr>
        <w:t>奖励性绩效，下同）的日平均数(按30天/月计，请假期内的节假日包括国家法定假日视同请假，下同)；全年累计事假时间超过1个月的人员，超过一个月部分按实际天数扣发</w:t>
      </w:r>
      <w:r>
        <w:rPr>
          <w:rFonts w:hint="eastAsia" w:ascii="仿宋" w:hAnsi="仿宋" w:eastAsia="仿宋" w:cs="仿宋"/>
          <w:b w:val="0"/>
          <w:bCs w:val="0"/>
          <w:color w:val="auto"/>
          <w:sz w:val="32"/>
          <w:szCs w:val="32"/>
          <w:lang w:val="en-US" w:eastAsia="zh-CN"/>
        </w:rPr>
        <w:t>基础性</w:t>
      </w:r>
      <w:r>
        <w:rPr>
          <w:rFonts w:hint="eastAsia" w:ascii="仿宋" w:hAnsi="仿宋" w:eastAsia="仿宋" w:cs="仿宋"/>
          <w:b w:val="0"/>
          <w:bCs w:val="0"/>
          <w:color w:val="auto"/>
          <w:sz w:val="32"/>
          <w:szCs w:val="32"/>
        </w:rPr>
        <w:t>绩效工资中岗位津贴和岗位奖励性绩效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的日平均数(按30天/月计)；旷工半天扣发半月岗位奖励性绩效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,超过一天者,每天扣发一个月岗位奖励性绩效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w:t>
      </w:r>
    </w:p>
    <w:p w14:paraId="2E8D2BC6">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③全年病假累计七天以内不扣岗位奖励性绩效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，全年累计病假时间八天以上且不超过两个月的人员，按实际天数扣发岗位奖励性绩效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按30天/月计）。全年累计病假超过两个月不满六个月的人员，从第三个月起，工作年限不满十年的，基本工资和基础性绩效工资按照90%发放；工作年限满十年的，基本工资和基础性绩效工资全额发放。按实际天数扣发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按30天/月计）。全年累计病假超过六个月的人员，从第七个月起，工作年限不满十年的，基本工资和基础性绩效工资按照70%发放；工作年限满十年不满二十年的，基本工资和基础性绩效工资按照80%发放；工作年限满二十年的，基本工资和基础性绩效工资按照90%发放。按实际天数扣发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（按30天/月计）。</w:t>
      </w:r>
    </w:p>
    <w:p w14:paraId="480BD2D4">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因患癌症、精神类疾病申请长病假的教职工原则上予以照顾，岗位奖励性绩效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发放30%。</w:t>
      </w:r>
    </w:p>
    <w:p w14:paraId="325A78FD">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④申请调出、辞职、自费出国留学的教职工，从学校同意其申请的离校之日起停发所有工资。</w:t>
      </w:r>
    </w:p>
    <w:p w14:paraId="1F59361E">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、聘期内岗位和绩效工资的调整</w:t>
      </w:r>
    </w:p>
    <w:p w14:paraId="70861A0E">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下列情况可以调整教职工本人的</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w:t>
      </w:r>
    </w:p>
    <w:p w14:paraId="5BF178C6">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①岗位发生变化；</w:t>
      </w:r>
    </w:p>
    <w:p w14:paraId="61CEA033">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②职称发生变化；</w:t>
      </w:r>
    </w:p>
    <w:p w14:paraId="48A30E2F">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③职务发生变化；</w:t>
      </w:r>
    </w:p>
    <w:p w14:paraId="1CCDB2A1">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④聘期内退休人员，经本人申请，学校批准后，可以按相关规定进行调整；</w:t>
      </w:r>
    </w:p>
    <w:p w14:paraId="53A0C2EE">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⑤中层干部</w:t>
      </w:r>
      <w:r>
        <w:rPr>
          <w:rFonts w:hint="eastAsia" w:ascii="仿宋" w:hAnsi="仿宋" w:eastAsia="仿宋" w:cs="仿宋"/>
          <w:b w:val="0"/>
          <w:bCs w:val="0"/>
          <w:color w:val="auto"/>
          <w:sz w:val="32"/>
          <w:szCs w:val="32"/>
          <w:lang w:val="en-US" w:eastAsia="zh-CN"/>
        </w:rPr>
        <w:t>岗位</w:t>
      </w:r>
      <w:r>
        <w:rPr>
          <w:rFonts w:hint="eastAsia" w:ascii="仿宋" w:hAnsi="仿宋" w:eastAsia="仿宋" w:cs="仿宋"/>
          <w:b w:val="0"/>
          <w:bCs w:val="0"/>
          <w:color w:val="auto"/>
          <w:sz w:val="32"/>
          <w:szCs w:val="32"/>
        </w:rPr>
        <w:t>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，经本人申请，学校批准后，可以按相关规定进行调整；</w:t>
      </w:r>
    </w:p>
    <w:p w14:paraId="1BF24CF6">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⑥受行政处分人员。</w:t>
      </w:r>
    </w:p>
    <w:p w14:paraId="2EC3CF63">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除此以外，在同一聘期内，教职工的岗位和奖励性绩效</w:t>
      </w:r>
      <w:r>
        <w:rPr>
          <w:rFonts w:hint="eastAsia" w:ascii="仿宋" w:hAnsi="仿宋" w:eastAsia="仿宋" w:cs="仿宋"/>
          <w:b w:val="0"/>
          <w:bCs w:val="0"/>
          <w:color w:val="auto"/>
          <w:sz w:val="32"/>
          <w:szCs w:val="32"/>
          <w:lang w:val="en-US" w:eastAsia="zh-CN"/>
        </w:rPr>
        <w:t>工资</w:t>
      </w:r>
      <w:r>
        <w:rPr>
          <w:rFonts w:hint="eastAsia" w:ascii="仿宋" w:hAnsi="仿宋" w:eastAsia="仿宋" w:cs="仿宋"/>
          <w:b w:val="0"/>
          <w:bCs w:val="0"/>
          <w:color w:val="auto"/>
          <w:sz w:val="32"/>
          <w:szCs w:val="32"/>
        </w:rPr>
        <w:t>档</w:t>
      </w:r>
      <w:r>
        <w:rPr>
          <w:rFonts w:hint="eastAsia" w:ascii="仿宋" w:hAnsi="仿宋" w:eastAsia="仿宋" w:cs="仿宋"/>
          <w:b w:val="0"/>
          <w:bCs w:val="0"/>
          <w:color w:val="auto"/>
          <w:sz w:val="32"/>
          <w:szCs w:val="32"/>
          <w:lang w:val="en-US" w:eastAsia="zh-CN"/>
        </w:rPr>
        <w:t>次</w:t>
      </w:r>
      <w:r>
        <w:rPr>
          <w:rFonts w:hint="eastAsia" w:ascii="仿宋" w:hAnsi="仿宋" w:eastAsia="仿宋" w:cs="仿宋"/>
          <w:b w:val="0"/>
          <w:bCs w:val="0"/>
          <w:color w:val="auto"/>
          <w:sz w:val="32"/>
          <w:szCs w:val="32"/>
        </w:rPr>
        <w:t>不再调整。</w:t>
      </w:r>
    </w:p>
    <w:p w14:paraId="6A84EDF3">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处分人员</w:t>
      </w:r>
    </w:p>
    <w:p w14:paraId="30041323">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①</w:t>
      </w:r>
      <w:r>
        <w:rPr>
          <w:rFonts w:hint="eastAsia" w:ascii="仿宋" w:hAnsi="仿宋" w:eastAsia="仿宋" w:cs="仿宋"/>
          <w:b w:val="0"/>
          <w:bCs w:val="0"/>
          <w:color w:val="auto"/>
          <w:sz w:val="32"/>
          <w:szCs w:val="32"/>
          <w:lang w:val="en-US" w:eastAsia="zh-CN"/>
        </w:rPr>
        <w:t>受党纪处分人员：按照</w:t>
      </w:r>
      <w:r>
        <w:rPr>
          <w:rFonts w:hint="eastAsia" w:ascii="仿宋" w:hAnsi="仿宋" w:eastAsia="仿宋" w:cs="仿宋"/>
          <w:b w:val="0"/>
          <w:bCs w:val="0"/>
          <w:color w:val="auto"/>
          <w:sz w:val="32"/>
          <w:szCs w:val="32"/>
        </w:rPr>
        <w:t>《中国共产党纪律处分条例》相关规定执行。</w:t>
      </w:r>
    </w:p>
    <w:p w14:paraId="5B1D0C6F">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②</w:t>
      </w:r>
      <w:r>
        <w:rPr>
          <w:rFonts w:hint="eastAsia" w:ascii="仿宋" w:hAnsi="仿宋" w:eastAsia="仿宋" w:cs="仿宋"/>
          <w:b w:val="0"/>
          <w:bCs w:val="0"/>
          <w:color w:val="auto"/>
          <w:sz w:val="32"/>
          <w:szCs w:val="32"/>
          <w:lang w:val="en-US" w:eastAsia="zh-CN"/>
        </w:rPr>
        <w:t>受政务处分人员：按照《中华人民共和国公职人员政务处分法》相关规定执行。</w:t>
      </w:r>
    </w:p>
    <w:p w14:paraId="7DBEBC98">
      <w:pPr>
        <w:spacing w:line="56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s="仿宋"/>
          <w:b w:val="0"/>
          <w:bCs w:val="0"/>
          <w:color w:val="auto"/>
          <w:sz w:val="32"/>
          <w:szCs w:val="32"/>
        </w:rPr>
        <w:t>③</w:t>
      </w:r>
      <w:r>
        <w:rPr>
          <w:rFonts w:hint="eastAsia" w:ascii="仿宋" w:hAnsi="仿宋" w:eastAsia="仿宋" w:cs="仿宋"/>
          <w:b w:val="0"/>
          <w:bCs w:val="0"/>
          <w:color w:val="auto"/>
          <w:sz w:val="32"/>
          <w:szCs w:val="32"/>
          <w:lang w:val="en-US" w:eastAsia="zh-CN"/>
        </w:rPr>
        <w:t>受行政处分人员：按照《事业单位工作人员处分规定》相关规定执行。记过处分人员处分期内绩效工资</w:t>
      </w:r>
      <w:r>
        <w:rPr>
          <w:rFonts w:hint="eastAsia" w:ascii="仿宋" w:hAnsi="仿宋" w:eastAsia="仿宋"/>
          <w:color w:val="auto"/>
          <w:sz w:val="32"/>
          <w:szCs w:val="32"/>
          <w:highlight w:val="none"/>
          <w:lang w:val="en-US" w:eastAsia="zh-CN"/>
        </w:rPr>
        <w:t>参照</w:t>
      </w:r>
      <w:r>
        <w:rPr>
          <w:rFonts w:hint="eastAsia" w:ascii="仿宋" w:hAnsi="仿宋" w:eastAsia="仿宋"/>
          <w:color w:val="auto"/>
          <w:sz w:val="32"/>
          <w:szCs w:val="32"/>
          <w:highlight w:val="none"/>
        </w:rPr>
        <w:t>年度考核基本合格人员</w:t>
      </w:r>
      <w:r>
        <w:rPr>
          <w:rFonts w:hint="eastAsia" w:ascii="仿宋" w:hAnsi="仿宋" w:eastAsia="仿宋"/>
          <w:color w:val="auto"/>
          <w:sz w:val="32"/>
          <w:szCs w:val="32"/>
          <w:highlight w:val="none"/>
          <w:lang w:val="en-US" w:eastAsia="zh-CN"/>
        </w:rPr>
        <w:t>相关规定</w:t>
      </w:r>
      <w:r>
        <w:rPr>
          <w:rFonts w:hint="eastAsia" w:ascii="仿宋" w:hAnsi="仿宋" w:eastAsia="仿宋"/>
          <w:color w:val="auto"/>
          <w:sz w:val="32"/>
          <w:szCs w:val="32"/>
          <w:highlight w:val="none"/>
        </w:rPr>
        <w:t>执行</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降低岗位等级处分人员</w:t>
      </w:r>
      <w:r>
        <w:rPr>
          <w:rFonts w:hint="eastAsia" w:ascii="仿宋" w:hAnsi="仿宋" w:eastAsia="仿宋" w:cs="仿宋"/>
          <w:b w:val="0"/>
          <w:bCs w:val="0"/>
          <w:color w:val="auto"/>
          <w:sz w:val="32"/>
          <w:szCs w:val="32"/>
          <w:lang w:val="en-US" w:eastAsia="zh-CN"/>
        </w:rPr>
        <w:t>处分期内绩效工资</w:t>
      </w:r>
      <w:r>
        <w:rPr>
          <w:rFonts w:hint="eastAsia" w:ascii="仿宋" w:hAnsi="仿宋" w:eastAsia="仿宋"/>
          <w:color w:val="auto"/>
          <w:sz w:val="32"/>
          <w:szCs w:val="32"/>
          <w:highlight w:val="none"/>
          <w:lang w:val="en-US" w:eastAsia="zh-CN"/>
        </w:rPr>
        <w:t>参照</w:t>
      </w:r>
      <w:r>
        <w:rPr>
          <w:rFonts w:hint="eastAsia" w:ascii="仿宋" w:hAnsi="仿宋" w:eastAsia="仿宋"/>
          <w:color w:val="auto"/>
          <w:sz w:val="32"/>
          <w:szCs w:val="32"/>
          <w:highlight w:val="none"/>
        </w:rPr>
        <w:t>年度考核</w:t>
      </w:r>
      <w:r>
        <w:rPr>
          <w:rFonts w:hint="eastAsia" w:ascii="仿宋" w:hAnsi="仿宋" w:eastAsia="仿宋"/>
          <w:color w:val="auto"/>
          <w:sz w:val="32"/>
          <w:szCs w:val="32"/>
          <w:highlight w:val="none"/>
          <w:lang w:val="en-US" w:eastAsia="zh-CN"/>
        </w:rPr>
        <w:t>不合格</w:t>
      </w:r>
      <w:r>
        <w:rPr>
          <w:rFonts w:hint="eastAsia" w:ascii="仿宋" w:hAnsi="仿宋" w:eastAsia="仿宋"/>
          <w:color w:val="auto"/>
          <w:sz w:val="32"/>
          <w:szCs w:val="32"/>
          <w:highlight w:val="none"/>
        </w:rPr>
        <w:t>人员</w:t>
      </w:r>
      <w:r>
        <w:rPr>
          <w:rFonts w:hint="eastAsia" w:ascii="仿宋" w:hAnsi="仿宋" w:eastAsia="仿宋"/>
          <w:color w:val="auto"/>
          <w:sz w:val="32"/>
          <w:szCs w:val="32"/>
          <w:highlight w:val="none"/>
          <w:lang w:val="en-US" w:eastAsia="zh-CN"/>
        </w:rPr>
        <w:t>相关规定</w:t>
      </w:r>
      <w:r>
        <w:rPr>
          <w:rFonts w:hint="eastAsia" w:ascii="仿宋" w:hAnsi="仿宋" w:eastAsia="仿宋"/>
          <w:color w:val="auto"/>
          <w:sz w:val="32"/>
          <w:szCs w:val="32"/>
          <w:highlight w:val="none"/>
        </w:rPr>
        <w:t>执行</w:t>
      </w:r>
      <w:r>
        <w:rPr>
          <w:rFonts w:hint="eastAsia" w:ascii="仿宋" w:hAnsi="仿宋" w:eastAsia="仿宋"/>
          <w:color w:val="auto"/>
          <w:sz w:val="32"/>
          <w:szCs w:val="32"/>
          <w:highlight w:val="none"/>
          <w:lang w:eastAsia="zh-CN"/>
        </w:rPr>
        <w:t>。</w:t>
      </w:r>
    </w:p>
    <w:p w14:paraId="46995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s="仿宋"/>
          <w:b w:val="0"/>
          <w:bCs w:val="0"/>
          <w:color w:val="auto"/>
          <w:sz w:val="32"/>
          <w:szCs w:val="32"/>
        </w:rPr>
        <w:t>④</w:t>
      </w:r>
      <w:r>
        <w:rPr>
          <w:rFonts w:hint="eastAsia" w:ascii="仿宋" w:hAnsi="仿宋" w:eastAsia="仿宋"/>
          <w:color w:val="auto"/>
          <w:sz w:val="32"/>
          <w:szCs w:val="32"/>
          <w:lang w:val="en-US" w:eastAsia="zh-CN"/>
        </w:rPr>
        <w:t>其余</w:t>
      </w:r>
      <w:r>
        <w:rPr>
          <w:rFonts w:hint="eastAsia" w:ascii="仿宋" w:hAnsi="仿宋" w:eastAsia="仿宋"/>
          <w:color w:val="auto"/>
          <w:sz w:val="32"/>
          <w:szCs w:val="32"/>
        </w:rPr>
        <w:t>处分：根据上级</w:t>
      </w:r>
      <w:r>
        <w:rPr>
          <w:rFonts w:hint="eastAsia" w:ascii="仿宋" w:hAnsi="仿宋" w:eastAsia="仿宋"/>
          <w:color w:val="auto"/>
          <w:sz w:val="32"/>
          <w:szCs w:val="32"/>
          <w:lang w:val="en-US" w:eastAsia="zh-CN"/>
        </w:rPr>
        <w:t>相</w:t>
      </w:r>
      <w:r>
        <w:rPr>
          <w:rFonts w:hint="eastAsia" w:ascii="仿宋" w:hAnsi="仿宋" w:eastAsia="仿宋"/>
          <w:color w:val="auto"/>
          <w:sz w:val="32"/>
          <w:szCs w:val="32"/>
        </w:rPr>
        <w:t>关政策规定执行。</w:t>
      </w:r>
    </w:p>
    <w:p w14:paraId="5D3DA63A">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、退休人员</w:t>
      </w:r>
    </w:p>
    <w:p w14:paraId="4BE47CE7">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在聘期内退休的人员，退休后的工资系列必须和在职的工资系列一致。</w:t>
      </w:r>
    </w:p>
    <w:p w14:paraId="1E513189">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、职员年限</w:t>
      </w:r>
    </w:p>
    <w:p w14:paraId="27D6E1F5">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因第一轮岗位聘任是从2010年1月1日开始，故职员年限从该时间点起算。</w:t>
      </w:r>
    </w:p>
    <w:p w14:paraId="6E0327C1">
      <w:pPr>
        <w:spacing w:line="560" w:lineRule="exact"/>
        <w:ind w:firstLine="640" w:firstLineChars="200"/>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八、附则</w:t>
      </w:r>
    </w:p>
    <w:p w14:paraId="7A6091E2">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自本办法执行之日起，《常州轻工职业技术学院奖励性绩效工资分配办法（试行）》（常轻院党字〔2014〕22号）《常州轻工职业技术学院奖励性绩效工资分配办法（试行）补充规定》（常工院院字〔2018〕159号）《常州轻工职业技术学院奖励性绩效工资分配办法（试行）补充规定》（常工院院字〔2019〕4号）、《常州工业职业技术学院奖励性绩效工资分配办法》（常工职党字〔2020〕41号）停止执行。</w:t>
      </w:r>
    </w:p>
    <w:p w14:paraId="3262B7A5">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2、本文件相关规定与上级文件相冲突或上级下达新文件，按照上级相关文件执行。</w:t>
      </w:r>
    </w:p>
    <w:p w14:paraId="7EDC91AD">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3、本办法的解释权归党委教师工作部、人事处。</w:t>
      </w:r>
    </w:p>
    <w:p w14:paraId="4CE2F02B">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4、其他未尽事宜，由学校奖励性绩效工资领导小组审议后，提交学校党委会决定。</w:t>
      </w:r>
    </w:p>
    <w:p w14:paraId="6D5360E1">
      <w:pPr>
        <w:spacing w:line="56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5、本办法自2025年1月1日起执行。</w:t>
      </w:r>
    </w:p>
    <w:p w14:paraId="2B9D75D7">
      <w:pPr>
        <w:spacing w:line="560" w:lineRule="exact"/>
        <w:ind w:firstLine="640" w:firstLineChars="200"/>
        <w:rPr>
          <w:rFonts w:ascii="仿宋" w:hAnsi="仿宋" w:eastAsia="仿宋" w:cs="仿宋"/>
          <w:color w:val="auto"/>
          <w:sz w:val="32"/>
          <w:szCs w:val="32"/>
        </w:rPr>
      </w:pPr>
    </w:p>
    <w:p w14:paraId="00353D33">
      <w:pPr>
        <w:spacing w:line="560" w:lineRule="exact"/>
        <w:rPr>
          <w:rFonts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433" w:tblpY="3045"/>
        <w:tblW w:w="14365" w:type="dxa"/>
        <w:tblInd w:w="0" w:type="dxa"/>
        <w:tblLayout w:type="fixed"/>
        <w:tblCellMar>
          <w:top w:w="0" w:type="dxa"/>
          <w:left w:w="108" w:type="dxa"/>
          <w:bottom w:w="0" w:type="dxa"/>
          <w:right w:w="108" w:type="dxa"/>
        </w:tblCellMar>
      </w:tblPr>
      <w:tblGrid>
        <w:gridCol w:w="960"/>
        <w:gridCol w:w="970"/>
        <w:gridCol w:w="945"/>
        <w:gridCol w:w="975"/>
        <w:gridCol w:w="975"/>
        <w:gridCol w:w="975"/>
        <w:gridCol w:w="1020"/>
        <w:gridCol w:w="960"/>
        <w:gridCol w:w="990"/>
        <w:gridCol w:w="975"/>
        <w:gridCol w:w="990"/>
        <w:gridCol w:w="1005"/>
        <w:gridCol w:w="1005"/>
        <w:gridCol w:w="945"/>
        <w:gridCol w:w="675"/>
      </w:tblGrid>
      <w:tr w14:paraId="04190A14">
        <w:tblPrEx>
          <w:tblCellMar>
            <w:top w:w="0" w:type="dxa"/>
            <w:left w:w="108" w:type="dxa"/>
            <w:bottom w:w="0" w:type="dxa"/>
            <w:right w:w="108" w:type="dxa"/>
          </w:tblCellMar>
        </w:tblPrEx>
        <w:trPr>
          <w:trHeight w:val="520" w:hRule="atLeast"/>
        </w:trPr>
        <w:tc>
          <w:tcPr>
            <w:tcW w:w="960" w:type="dxa"/>
            <w:tcBorders>
              <w:top w:val="single" w:color="auto" w:sz="8" w:space="0"/>
              <w:left w:val="single" w:color="auto" w:sz="8" w:space="0"/>
              <w:bottom w:val="single" w:color="000000" w:sz="8" w:space="0"/>
              <w:right w:val="single" w:color="000000" w:sz="8" w:space="0"/>
            </w:tcBorders>
            <w:vAlign w:val="center"/>
          </w:tcPr>
          <w:p w14:paraId="42488B8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档次</w:t>
            </w:r>
          </w:p>
        </w:tc>
        <w:tc>
          <w:tcPr>
            <w:tcW w:w="970" w:type="dxa"/>
            <w:tcBorders>
              <w:top w:val="single" w:color="auto" w:sz="8" w:space="0"/>
              <w:left w:val="nil"/>
              <w:bottom w:val="single" w:color="000000" w:sz="8" w:space="0"/>
              <w:right w:val="single" w:color="000000" w:sz="8" w:space="0"/>
            </w:tcBorders>
            <w:vAlign w:val="center"/>
          </w:tcPr>
          <w:p w14:paraId="383C593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w:t>
            </w:r>
          </w:p>
        </w:tc>
        <w:tc>
          <w:tcPr>
            <w:tcW w:w="945" w:type="dxa"/>
            <w:tcBorders>
              <w:top w:val="single" w:color="auto" w:sz="8" w:space="0"/>
              <w:left w:val="nil"/>
              <w:bottom w:val="single" w:color="000000" w:sz="8" w:space="0"/>
              <w:right w:val="single" w:color="000000" w:sz="8" w:space="0"/>
            </w:tcBorders>
            <w:vAlign w:val="center"/>
          </w:tcPr>
          <w:p w14:paraId="321D076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2</w:t>
            </w:r>
          </w:p>
        </w:tc>
        <w:tc>
          <w:tcPr>
            <w:tcW w:w="975" w:type="dxa"/>
            <w:tcBorders>
              <w:top w:val="single" w:color="auto" w:sz="8" w:space="0"/>
              <w:left w:val="nil"/>
              <w:bottom w:val="single" w:color="000000" w:sz="8" w:space="0"/>
              <w:right w:val="single" w:color="000000" w:sz="8" w:space="0"/>
            </w:tcBorders>
            <w:vAlign w:val="center"/>
          </w:tcPr>
          <w:p w14:paraId="759A170C">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3</w:t>
            </w:r>
          </w:p>
        </w:tc>
        <w:tc>
          <w:tcPr>
            <w:tcW w:w="975" w:type="dxa"/>
            <w:tcBorders>
              <w:top w:val="single" w:color="auto" w:sz="8" w:space="0"/>
              <w:left w:val="nil"/>
              <w:bottom w:val="single" w:color="000000" w:sz="8" w:space="0"/>
              <w:right w:val="single" w:color="000000" w:sz="8" w:space="0"/>
            </w:tcBorders>
            <w:vAlign w:val="center"/>
          </w:tcPr>
          <w:p w14:paraId="00AF87EC">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4</w:t>
            </w:r>
          </w:p>
        </w:tc>
        <w:tc>
          <w:tcPr>
            <w:tcW w:w="975" w:type="dxa"/>
            <w:tcBorders>
              <w:top w:val="single" w:color="auto" w:sz="8" w:space="0"/>
              <w:left w:val="nil"/>
              <w:bottom w:val="single" w:color="000000" w:sz="8" w:space="0"/>
              <w:right w:val="single" w:color="000000" w:sz="8" w:space="0"/>
            </w:tcBorders>
            <w:vAlign w:val="center"/>
          </w:tcPr>
          <w:p w14:paraId="6EB9492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5</w:t>
            </w:r>
          </w:p>
        </w:tc>
        <w:tc>
          <w:tcPr>
            <w:tcW w:w="1020" w:type="dxa"/>
            <w:tcBorders>
              <w:top w:val="single" w:color="auto" w:sz="8" w:space="0"/>
              <w:left w:val="nil"/>
              <w:bottom w:val="single" w:color="000000" w:sz="8" w:space="0"/>
              <w:right w:val="single" w:color="000000" w:sz="8" w:space="0"/>
            </w:tcBorders>
            <w:vAlign w:val="center"/>
          </w:tcPr>
          <w:p w14:paraId="5FD7DD26">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6</w:t>
            </w:r>
          </w:p>
        </w:tc>
        <w:tc>
          <w:tcPr>
            <w:tcW w:w="960" w:type="dxa"/>
            <w:tcBorders>
              <w:top w:val="single" w:color="auto" w:sz="8" w:space="0"/>
              <w:left w:val="nil"/>
              <w:bottom w:val="single" w:color="000000" w:sz="8" w:space="0"/>
              <w:right w:val="single" w:color="000000" w:sz="8" w:space="0"/>
            </w:tcBorders>
            <w:vAlign w:val="center"/>
          </w:tcPr>
          <w:p w14:paraId="5AD204D2">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7</w:t>
            </w:r>
          </w:p>
        </w:tc>
        <w:tc>
          <w:tcPr>
            <w:tcW w:w="990" w:type="dxa"/>
            <w:tcBorders>
              <w:top w:val="single" w:color="auto" w:sz="8" w:space="0"/>
              <w:left w:val="nil"/>
              <w:bottom w:val="single" w:color="000000" w:sz="8" w:space="0"/>
              <w:right w:val="single" w:color="000000" w:sz="8" w:space="0"/>
            </w:tcBorders>
            <w:vAlign w:val="center"/>
          </w:tcPr>
          <w:p w14:paraId="4BAD649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8</w:t>
            </w:r>
          </w:p>
        </w:tc>
        <w:tc>
          <w:tcPr>
            <w:tcW w:w="975" w:type="dxa"/>
            <w:tcBorders>
              <w:top w:val="single" w:color="auto" w:sz="8" w:space="0"/>
              <w:left w:val="nil"/>
              <w:bottom w:val="single" w:color="000000" w:sz="8" w:space="0"/>
              <w:right w:val="single" w:color="000000" w:sz="8" w:space="0"/>
            </w:tcBorders>
            <w:vAlign w:val="center"/>
          </w:tcPr>
          <w:p w14:paraId="763BD1E3">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9</w:t>
            </w:r>
          </w:p>
        </w:tc>
        <w:tc>
          <w:tcPr>
            <w:tcW w:w="990" w:type="dxa"/>
            <w:tcBorders>
              <w:top w:val="single" w:color="auto" w:sz="8" w:space="0"/>
              <w:left w:val="nil"/>
              <w:bottom w:val="single" w:color="000000" w:sz="8" w:space="0"/>
              <w:right w:val="single" w:color="000000" w:sz="8" w:space="0"/>
            </w:tcBorders>
            <w:vAlign w:val="center"/>
          </w:tcPr>
          <w:p w14:paraId="19C2AD3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10</w:t>
            </w:r>
          </w:p>
        </w:tc>
        <w:tc>
          <w:tcPr>
            <w:tcW w:w="1005" w:type="dxa"/>
            <w:tcBorders>
              <w:top w:val="single" w:color="auto" w:sz="8" w:space="0"/>
              <w:left w:val="nil"/>
              <w:bottom w:val="single" w:color="000000" w:sz="8" w:space="0"/>
              <w:right w:val="single" w:color="000000" w:sz="8" w:space="0"/>
            </w:tcBorders>
            <w:vAlign w:val="center"/>
          </w:tcPr>
          <w:p w14:paraId="13069DA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11</w:t>
            </w:r>
          </w:p>
        </w:tc>
        <w:tc>
          <w:tcPr>
            <w:tcW w:w="1005" w:type="dxa"/>
            <w:tcBorders>
              <w:top w:val="single" w:color="auto" w:sz="8" w:space="0"/>
              <w:left w:val="nil"/>
              <w:bottom w:val="single" w:color="000000" w:sz="8" w:space="0"/>
              <w:right w:val="single" w:color="000000" w:sz="8" w:space="0"/>
            </w:tcBorders>
            <w:vAlign w:val="center"/>
          </w:tcPr>
          <w:p w14:paraId="4D5DE399">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12</w:t>
            </w:r>
          </w:p>
        </w:tc>
        <w:tc>
          <w:tcPr>
            <w:tcW w:w="945" w:type="dxa"/>
            <w:tcBorders>
              <w:top w:val="single" w:color="auto" w:sz="8" w:space="0"/>
              <w:left w:val="nil"/>
              <w:bottom w:val="single" w:color="000000" w:sz="8" w:space="0"/>
              <w:right w:val="single" w:color="000000" w:sz="8" w:space="0"/>
            </w:tcBorders>
            <w:vAlign w:val="center"/>
          </w:tcPr>
          <w:p w14:paraId="59E3A3C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13</w:t>
            </w:r>
          </w:p>
        </w:tc>
        <w:tc>
          <w:tcPr>
            <w:tcW w:w="675" w:type="dxa"/>
            <w:tcBorders>
              <w:top w:val="single" w:color="auto" w:sz="8" w:space="0"/>
              <w:left w:val="nil"/>
              <w:bottom w:val="single" w:color="000000" w:sz="8" w:space="0"/>
              <w:right w:val="single" w:color="auto" w:sz="8" w:space="0"/>
            </w:tcBorders>
            <w:vAlign w:val="center"/>
          </w:tcPr>
          <w:p w14:paraId="29564E8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14</w:t>
            </w:r>
          </w:p>
        </w:tc>
      </w:tr>
      <w:tr w14:paraId="1DF96BFF">
        <w:tblPrEx>
          <w:tblCellMar>
            <w:top w:w="0" w:type="dxa"/>
            <w:left w:w="108" w:type="dxa"/>
            <w:bottom w:w="0" w:type="dxa"/>
            <w:right w:w="108" w:type="dxa"/>
          </w:tblCellMar>
        </w:tblPrEx>
        <w:trPr>
          <w:trHeight w:val="590" w:hRule="atLeast"/>
        </w:trPr>
        <w:tc>
          <w:tcPr>
            <w:tcW w:w="960" w:type="dxa"/>
            <w:tcBorders>
              <w:top w:val="nil"/>
              <w:left w:val="single" w:color="auto" w:sz="8" w:space="0"/>
              <w:bottom w:val="single" w:color="000000" w:sz="8" w:space="0"/>
              <w:right w:val="single" w:color="000000" w:sz="8" w:space="0"/>
            </w:tcBorders>
            <w:vAlign w:val="center"/>
          </w:tcPr>
          <w:p w14:paraId="4410B18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新系数</w:t>
            </w:r>
          </w:p>
        </w:tc>
        <w:tc>
          <w:tcPr>
            <w:tcW w:w="970" w:type="dxa"/>
            <w:tcBorders>
              <w:top w:val="nil"/>
              <w:left w:val="nil"/>
              <w:bottom w:val="single" w:color="000000" w:sz="8" w:space="0"/>
              <w:right w:val="single" w:color="000000" w:sz="8" w:space="0"/>
            </w:tcBorders>
            <w:vAlign w:val="center"/>
          </w:tcPr>
          <w:p w14:paraId="0D940804">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4.60</w:t>
            </w:r>
          </w:p>
        </w:tc>
        <w:tc>
          <w:tcPr>
            <w:tcW w:w="945" w:type="dxa"/>
            <w:tcBorders>
              <w:top w:val="nil"/>
              <w:left w:val="nil"/>
              <w:bottom w:val="single" w:color="000000" w:sz="8" w:space="0"/>
              <w:right w:val="single" w:color="000000" w:sz="8" w:space="0"/>
            </w:tcBorders>
            <w:vAlign w:val="center"/>
          </w:tcPr>
          <w:p w14:paraId="784F83B8">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3.78</w:t>
            </w:r>
          </w:p>
        </w:tc>
        <w:tc>
          <w:tcPr>
            <w:tcW w:w="975" w:type="dxa"/>
            <w:tcBorders>
              <w:top w:val="nil"/>
              <w:left w:val="nil"/>
              <w:bottom w:val="single" w:color="000000" w:sz="8" w:space="0"/>
              <w:right w:val="single" w:color="000000" w:sz="8" w:space="0"/>
            </w:tcBorders>
            <w:vAlign w:val="center"/>
          </w:tcPr>
          <w:p w14:paraId="62121FE7">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3.29</w:t>
            </w:r>
          </w:p>
        </w:tc>
        <w:tc>
          <w:tcPr>
            <w:tcW w:w="975" w:type="dxa"/>
            <w:tcBorders>
              <w:top w:val="nil"/>
              <w:left w:val="nil"/>
              <w:bottom w:val="single" w:color="000000" w:sz="8" w:space="0"/>
              <w:right w:val="single" w:color="000000" w:sz="8" w:space="0"/>
            </w:tcBorders>
            <w:vAlign w:val="center"/>
          </w:tcPr>
          <w:p w14:paraId="59143C9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2.86</w:t>
            </w:r>
          </w:p>
        </w:tc>
        <w:tc>
          <w:tcPr>
            <w:tcW w:w="975" w:type="dxa"/>
            <w:tcBorders>
              <w:top w:val="nil"/>
              <w:left w:val="nil"/>
              <w:bottom w:val="single" w:color="000000" w:sz="8" w:space="0"/>
              <w:right w:val="single" w:color="000000" w:sz="8" w:space="0"/>
            </w:tcBorders>
            <w:vAlign w:val="center"/>
          </w:tcPr>
          <w:p w14:paraId="2F1D5500">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2.49</w:t>
            </w:r>
          </w:p>
        </w:tc>
        <w:tc>
          <w:tcPr>
            <w:tcW w:w="1020" w:type="dxa"/>
            <w:tcBorders>
              <w:top w:val="nil"/>
              <w:left w:val="nil"/>
              <w:bottom w:val="single" w:color="000000" w:sz="8" w:space="0"/>
              <w:right w:val="single" w:color="000000" w:sz="8" w:space="0"/>
            </w:tcBorders>
            <w:vAlign w:val="center"/>
          </w:tcPr>
          <w:p w14:paraId="6A07884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2.17</w:t>
            </w:r>
          </w:p>
        </w:tc>
        <w:tc>
          <w:tcPr>
            <w:tcW w:w="960" w:type="dxa"/>
            <w:tcBorders>
              <w:top w:val="nil"/>
              <w:left w:val="nil"/>
              <w:bottom w:val="single" w:color="000000" w:sz="8" w:space="0"/>
              <w:right w:val="single" w:color="000000" w:sz="8" w:space="0"/>
            </w:tcBorders>
            <w:vAlign w:val="center"/>
          </w:tcPr>
          <w:p w14:paraId="0F96713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1.89</w:t>
            </w:r>
          </w:p>
        </w:tc>
        <w:tc>
          <w:tcPr>
            <w:tcW w:w="990" w:type="dxa"/>
            <w:tcBorders>
              <w:top w:val="nil"/>
              <w:left w:val="nil"/>
              <w:bottom w:val="single" w:color="000000" w:sz="8" w:space="0"/>
              <w:right w:val="single" w:color="000000" w:sz="8" w:space="0"/>
            </w:tcBorders>
            <w:vAlign w:val="center"/>
          </w:tcPr>
          <w:p w14:paraId="604959DF">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1.64</w:t>
            </w:r>
          </w:p>
        </w:tc>
        <w:tc>
          <w:tcPr>
            <w:tcW w:w="975" w:type="dxa"/>
            <w:tcBorders>
              <w:top w:val="nil"/>
              <w:left w:val="nil"/>
              <w:bottom w:val="single" w:color="000000" w:sz="8" w:space="0"/>
              <w:right w:val="single" w:color="000000" w:sz="8" w:space="0"/>
            </w:tcBorders>
            <w:vAlign w:val="center"/>
          </w:tcPr>
          <w:p w14:paraId="7389FC5D">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1.43</w:t>
            </w:r>
          </w:p>
        </w:tc>
        <w:tc>
          <w:tcPr>
            <w:tcW w:w="990" w:type="dxa"/>
            <w:tcBorders>
              <w:top w:val="nil"/>
              <w:left w:val="nil"/>
              <w:bottom w:val="single" w:color="000000" w:sz="8" w:space="0"/>
              <w:right w:val="single" w:color="000000" w:sz="8" w:space="0"/>
            </w:tcBorders>
            <w:vAlign w:val="center"/>
          </w:tcPr>
          <w:p w14:paraId="440A0049">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1.24</w:t>
            </w:r>
          </w:p>
        </w:tc>
        <w:tc>
          <w:tcPr>
            <w:tcW w:w="1005" w:type="dxa"/>
            <w:tcBorders>
              <w:top w:val="nil"/>
              <w:left w:val="nil"/>
              <w:bottom w:val="single" w:color="000000" w:sz="8" w:space="0"/>
              <w:right w:val="single" w:color="000000" w:sz="8" w:space="0"/>
            </w:tcBorders>
            <w:vAlign w:val="center"/>
          </w:tcPr>
          <w:p w14:paraId="5742E316">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1.15</w:t>
            </w:r>
          </w:p>
        </w:tc>
        <w:tc>
          <w:tcPr>
            <w:tcW w:w="1005" w:type="dxa"/>
            <w:tcBorders>
              <w:top w:val="nil"/>
              <w:left w:val="nil"/>
              <w:bottom w:val="single" w:color="000000" w:sz="8" w:space="0"/>
              <w:right w:val="single" w:color="000000" w:sz="8" w:space="0"/>
            </w:tcBorders>
            <w:vAlign w:val="center"/>
          </w:tcPr>
          <w:p w14:paraId="293E756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1.1</w:t>
            </w:r>
          </w:p>
        </w:tc>
        <w:tc>
          <w:tcPr>
            <w:tcW w:w="945" w:type="dxa"/>
            <w:tcBorders>
              <w:top w:val="nil"/>
              <w:left w:val="nil"/>
              <w:bottom w:val="single" w:color="000000" w:sz="8" w:space="0"/>
              <w:right w:val="single" w:color="000000" w:sz="8" w:space="0"/>
            </w:tcBorders>
            <w:vAlign w:val="center"/>
          </w:tcPr>
          <w:p w14:paraId="1D686C05">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1.05</w:t>
            </w:r>
          </w:p>
        </w:tc>
        <w:tc>
          <w:tcPr>
            <w:tcW w:w="675" w:type="dxa"/>
            <w:tcBorders>
              <w:top w:val="nil"/>
              <w:left w:val="nil"/>
              <w:bottom w:val="single" w:color="000000" w:sz="8" w:space="0"/>
              <w:right w:val="single" w:color="auto" w:sz="8" w:space="0"/>
            </w:tcBorders>
            <w:vAlign w:val="center"/>
          </w:tcPr>
          <w:p w14:paraId="6209AD6A">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w:t>
            </w:r>
          </w:p>
        </w:tc>
      </w:tr>
      <w:tr w14:paraId="41714DDE">
        <w:tblPrEx>
          <w:tblCellMar>
            <w:top w:w="0" w:type="dxa"/>
            <w:left w:w="108" w:type="dxa"/>
            <w:bottom w:w="0" w:type="dxa"/>
            <w:right w:w="108" w:type="dxa"/>
          </w:tblCellMar>
        </w:tblPrEx>
        <w:trPr>
          <w:trHeight w:val="705" w:hRule="atLeast"/>
        </w:trPr>
        <w:tc>
          <w:tcPr>
            <w:tcW w:w="960" w:type="dxa"/>
            <w:tcBorders>
              <w:top w:val="nil"/>
              <w:left w:val="single" w:color="auto" w:sz="8" w:space="0"/>
              <w:bottom w:val="single" w:color="000000" w:sz="8" w:space="0"/>
              <w:right w:val="single" w:color="000000" w:sz="8" w:space="0"/>
            </w:tcBorders>
            <w:vAlign w:val="center"/>
          </w:tcPr>
          <w:p w14:paraId="558C3B5D">
            <w:pPr>
              <w:widowControl/>
              <w:jc w:val="center"/>
              <w:rPr>
                <w:rFonts w:ascii="仿宋" w:hAnsi="仿宋" w:eastAsia="仿宋" w:cs="仿宋"/>
                <w:kern w:val="0"/>
                <w:sz w:val="18"/>
                <w:szCs w:val="18"/>
              </w:rPr>
            </w:pPr>
            <w:r>
              <w:rPr>
                <w:rFonts w:hint="eastAsia" w:ascii="仿宋" w:hAnsi="仿宋" w:eastAsia="仿宋" w:cs="仿宋"/>
                <w:kern w:val="0"/>
                <w:sz w:val="18"/>
                <w:szCs w:val="18"/>
              </w:rPr>
              <w:t>教科研</w:t>
            </w:r>
          </w:p>
        </w:tc>
        <w:tc>
          <w:tcPr>
            <w:tcW w:w="970" w:type="dxa"/>
            <w:tcBorders>
              <w:top w:val="nil"/>
              <w:left w:val="nil"/>
              <w:bottom w:val="single" w:color="000000" w:sz="8" w:space="0"/>
              <w:right w:val="single" w:color="000000" w:sz="8" w:space="0"/>
            </w:tcBorders>
            <w:vAlign w:val="center"/>
          </w:tcPr>
          <w:p w14:paraId="1F9B144D">
            <w:pPr>
              <w:widowControl/>
              <w:jc w:val="center"/>
              <w:rPr>
                <w:rFonts w:ascii="仿宋" w:hAnsi="仿宋" w:eastAsia="仿宋" w:cs="仿宋"/>
                <w:kern w:val="0"/>
                <w:sz w:val="18"/>
                <w:szCs w:val="18"/>
              </w:rPr>
            </w:pPr>
            <w:r>
              <w:rPr>
                <w:rFonts w:hint="eastAsia" w:ascii="仿宋" w:hAnsi="仿宋" w:eastAsia="仿宋" w:cs="仿宋"/>
                <w:kern w:val="0"/>
                <w:sz w:val="18"/>
                <w:szCs w:val="18"/>
              </w:rPr>
              <w:t>正高二级</w:t>
            </w:r>
          </w:p>
        </w:tc>
        <w:tc>
          <w:tcPr>
            <w:tcW w:w="945" w:type="dxa"/>
            <w:tcBorders>
              <w:top w:val="nil"/>
              <w:left w:val="nil"/>
              <w:bottom w:val="single" w:color="000000" w:sz="8" w:space="0"/>
              <w:right w:val="single" w:color="000000" w:sz="8" w:space="0"/>
            </w:tcBorders>
            <w:vAlign w:val="center"/>
          </w:tcPr>
          <w:p w14:paraId="568F59DE">
            <w:pPr>
              <w:widowControl/>
              <w:jc w:val="center"/>
              <w:rPr>
                <w:rFonts w:ascii="仿宋" w:hAnsi="仿宋" w:eastAsia="仿宋" w:cs="仿宋"/>
                <w:kern w:val="0"/>
                <w:sz w:val="18"/>
                <w:szCs w:val="18"/>
              </w:rPr>
            </w:pPr>
            <w:r>
              <w:rPr>
                <w:rFonts w:hint="eastAsia" w:ascii="仿宋" w:hAnsi="仿宋" w:eastAsia="仿宋" w:cs="仿宋"/>
                <w:kern w:val="0"/>
                <w:sz w:val="18"/>
                <w:szCs w:val="18"/>
              </w:rPr>
              <w:t>正高三级</w:t>
            </w:r>
          </w:p>
        </w:tc>
        <w:tc>
          <w:tcPr>
            <w:tcW w:w="975" w:type="dxa"/>
            <w:tcBorders>
              <w:top w:val="nil"/>
              <w:left w:val="nil"/>
              <w:bottom w:val="single" w:color="000000" w:sz="8" w:space="0"/>
              <w:right w:val="single" w:color="000000" w:sz="8" w:space="0"/>
            </w:tcBorders>
            <w:vAlign w:val="center"/>
          </w:tcPr>
          <w:p w14:paraId="17462B76">
            <w:pPr>
              <w:widowControl/>
              <w:jc w:val="center"/>
              <w:rPr>
                <w:rFonts w:ascii="仿宋" w:hAnsi="仿宋" w:eastAsia="仿宋" w:cs="仿宋"/>
                <w:kern w:val="0"/>
                <w:sz w:val="18"/>
                <w:szCs w:val="18"/>
              </w:rPr>
            </w:pPr>
            <w:r>
              <w:rPr>
                <w:rFonts w:hint="eastAsia" w:ascii="仿宋" w:hAnsi="仿宋" w:eastAsia="仿宋" w:cs="仿宋"/>
                <w:kern w:val="0"/>
                <w:sz w:val="18"/>
                <w:szCs w:val="18"/>
              </w:rPr>
              <w:t>正高四级</w:t>
            </w:r>
          </w:p>
        </w:tc>
        <w:tc>
          <w:tcPr>
            <w:tcW w:w="975" w:type="dxa"/>
            <w:tcBorders>
              <w:top w:val="nil"/>
              <w:left w:val="nil"/>
              <w:bottom w:val="single" w:color="000000" w:sz="8" w:space="0"/>
              <w:right w:val="single" w:color="000000" w:sz="8" w:space="0"/>
            </w:tcBorders>
            <w:vAlign w:val="center"/>
          </w:tcPr>
          <w:p w14:paraId="0C3E78A8">
            <w:pPr>
              <w:widowControl/>
              <w:jc w:val="center"/>
              <w:rPr>
                <w:rFonts w:ascii="仿宋" w:hAnsi="仿宋" w:eastAsia="仿宋" w:cs="仿宋"/>
                <w:kern w:val="0"/>
                <w:sz w:val="18"/>
                <w:szCs w:val="18"/>
              </w:rPr>
            </w:pPr>
            <w:r>
              <w:rPr>
                <w:rFonts w:hint="eastAsia" w:ascii="仿宋" w:hAnsi="仿宋" w:eastAsia="仿宋" w:cs="仿宋"/>
                <w:kern w:val="0"/>
                <w:sz w:val="18"/>
                <w:szCs w:val="18"/>
              </w:rPr>
              <w:t>副高五级</w:t>
            </w:r>
          </w:p>
        </w:tc>
        <w:tc>
          <w:tcPr>
            <w:tcW w:w="975" w:type="dxa"/>
            <w:tcBorders>
              <w:top w:val="nil"/>
              <w:left w:val="nil"/>
              <w:bottom w:val="single" w:color="000000" w:sz="8" w:space="0"/>
              <w:right w:val="single" w:color="000000" w:sz="8" w:space="0"/>
            </w:tcBorders>
            <w:vAlign w:val="center"/>
          </w:tcPr>
          <w:p w14:paraId="0AEB0DCD">
            <w:pPr>
              <w:widowControl/>
              <w:jc w:val="center"/>
              <w:rPr>
                <w:rFonts w:ascii="仿宋" w:hAnsi="仿宋" w:eastAsia="仿宋" w:cs="仿宋"/>
                <w:kern w:val="0"/>
                <w:sz w:val="18"/>
                <w:szCs w:val="18"/>
              </w:rPr>
            </w:pPr>
            <w:r>
              <w:rPr>
                <w:rFonts w:hint="eastAsia" w:ascii="仿宋" w:hAnsi="仿宋" w:eastAsia="仿宋" w:cs="仿宋"/>
                <w:kern w:val="0"/>
                <w:sz w:val="18"/>
                <w:szCs w:val="18"/>
              </w:rPr>
              <w:t>副高六级</w:t>
            </w:r>
          </w:p>
        </w:tc>
        <w:tc>
          <w:tcPr>
            <w:tcW w:w="1020" w:type="dxa"/>
            <w:tcBorders>
              <w:top w:val="nil"/>
              <w:left w:val="nil"/>
              <w:bottom w:val="single" w:color="000000" w:sz="8" w:space="0"/>
              <w:right w:val="single" w:color="000000" w:sz="8" w:space="0"/>
            </w:tcBorders>
            <w:vAlign w:val="center"/>
          </w:tcPr>
          <w:p w14:paraId="385A2166">
            <w:pPr>
              <w:widowControl/>
              <w:jc w:val="center"/>
              <w:rPr>
                <w:rFonts w:ascii="仿宋" w:hAnsi="仿宋" w:eastAsia="仿宋" w:cs="仿宋"/>
                <w:kern w:val="0"/>
                <w:sz w:val="18"/>
                <w:szCs w:val="18"/>
              </w:rPr>
            </w:pPr>
            <w:r>
              <w:rPr>
                <w:rFonts w:hint="eastAsia" w:ascii="仿宋" w:hAnsi="仿宋" w:eastAsia="仿宋" w:cs="仿宋"/>
                <w:kern w:val="0"/>
                <w:sz w:val="18"/>
                <w:szCs w:val="18"/>
              </w:rPr>
              <w:t>副高七级</w:t>
            </w:r>
          </w:p>
        </w:tc>
        <w:tc>
          <w:tcPr>
            <w:tcW w:w="960" w:type="dxa"/>
            <w:tcBorders>
              <w:top w:val="nil"/>
              <w:left w:val="nil"/>
              <w:bottom w:val="single" w:color="000000" w:sz="8" w:space="0"/>
              <w:right w:val="single" w:color="000000" w:sz="8" w:space="0"/>
            </w:tcBorders>
            <w:vAlign w:val="center"/>
          </w:tcPr>
          <w:p w14:paraId="0A18F506">
            <w:pPr>
              <w:widowControl/>
              <w:jc w:val="center"/>
              <w:rPr>
                <w:rFonts w:ascii="仿宋" w:hAnsi="仿宋" w:eastAsia="仿宋" w:cs="仿宋"/>
                <w:kern w:val="0"/>
                <w:sz w:val="18"/>
                <w:szCs w:val="18"/>
              </w:rPr>
            </w:pPr>
            <w:r>
              <w:rPr>
                <w:rFonts w:hint="eastAsia" w:ascii="仿宋" w:hAnsi="仿宋" w:eastAsia="仿宋" w:cs="仿宋"/>
                <w:kern w:val="0"/>
                <w:sz w:val="18"/>
                <w:szCs w:val="18"/>
              </w:rPr>
              <w:t>中级八级</w:t>
            </w:r>
          </w:p>
        </w:tc>
        <w:tc>
          <w:tcPr>
            <w:tcW w:w="990" w:type="dxa"/>
            <w:tcBorders>
              <w:top w:val="nil"/>
              <w:left w:val="nil"/>
              <w:bottom w:val="single" w:color="000000" w:sz="8" w:space="0"/>
              <w:right w:val="single" w:color="000000" w:sz="8" w:space="0"/>
            </w:tcBorders>
            <w:vAlign w:val="center"/>
          </w:tcPr>
          <w:p w14:paraId="54B05955">
            <w:pPr>
              <w:widowControl/>
              <w:jc w:val="center"/>
              <w:rPr>
                <w:rFonts w:ascii="仿宋" w:hAnsi="仿宋" w:eastAsia="仿宋" w:cs="仿宋"/>
                <w:kern w:val="0"/>
                <w:sz w:val="18"/>
                <w:szCs w:val="18"/>
              </w:rPr>
            </w:pPr>
            <w:r>
              <w:rPr>
                <w:rFonts w:hint="eastAsia" w:ascii="仿宋" w:hAnsi="仿宋" w:eastAsia="仿宋" w:cs="仿宋"/>
                <w:kern w:val="0"/>
                <w:sz w:val="18"/>
                <w:szCs w:val="18"/>
              </w:rPr>
              <w:t>中级九级</w:t>
            </w:r>
          </w:p>
        </w:tc>
        <w:tc>
          <w:tcPr>
            <w:tcW w:w="975" w:type="dxa"/>
            <w:tcBorders>
              <w:top w:val="nil"/>
              <w:left w:val="nil"/>
              <w:bottom w:val="single" w:color="000000" w:sz="8" w:space="0"/>
              <w:right w:val="single" w:color="000000" w:sz="8" w:space="0"/>
            </w:tcBorders>
            <w:vAlign w:val="center"/>
          </w:tcPr>
          <w:p w14:paraId="3222C972">
            <w:pPr>
              <w:widowControl/>
              <w:jc w:val="center"/>
              <w:rPr>
                <w:rFonts w:ascii="仿宋" w:hAnsi="仿宋" w:eastAsia="仿宋" w:cs="仿宋"/>
                <w:kern w:val="0"/>
                <w:sz w:val="18"/>
                <w:szCs w:val="18"/>
              </w:rPr>
            </w:pPr>
            <w:r>
              <w:rPr>
                <w:rFonts w:hint="eastAsia" w:ascii="仿宋" w:hAnsi="仿宋" w:eastAsia="仿宋" w:cs="仿宋"/>
                <w:kern w:val="0"/>
                <w:sz w:val="18"/>
                <w:szCs w:val="18"/>
              </w:rPr>
              <w:t>中级十级</w:t>
            </w:r>
          </w:p>
        </w:tc>
        <w:tc>
          <w:tcPr>
            <w:tcW w:w="990" w:type="dxa"/>
            <w:tcBorders>
              <w:top w:val="nil"/>
              <w:left w:val="nil"/>
              <w:bottom w:val="single" w:color="000000" w:sz="8" w:space="0"/>
              <w:right w:val="single" w:color="000000" w:sz="8" w:space="0"/>
            </w:tcBorders>
            <w:vAlign w:val="center"/>
          </w:tcPr>
          <w:p w14:paraId="13819CB3">
            <w:pPr>
              <w:widowControl/>
              <w:jc w:val="center"/>
              <w:rPr>
                <w:rFonts w:ascii="仿宋" w:hAnsi="仿宋" w:eastAsia="仿宋" w:cs="仿宋"/>
                <w:kern w:val="0"/>
                <w:sz w:val="18"/>
                <w:szCs w:val="18"/>
              </w:rPr>
            </w:pPr>
            <w:r>
              <w:rPr>
                <w:rFonts w:hint="eastAsia" w:ascii="仿宋" w:hAnsi="仿宋" w:eastAsia="仿宋" w:cs="仿宋"/>
                <w:kern w:val="0"/>
                <w:sz w:val="18"/>
                <w:szCs w:val="18"/>
              </w:rPr>
              <w:t>助级十一</w:t>
            </w:r>
          </w:p>
        </w:tc>
        <w:tc>
          <w:tcPr>
            <w:tcW w:w="1005" w:type="dxa"/>
            <w:tcBorders>
              <w:top w:val="nil"/>
              <w:left w:val="nil"/>
              <w:bottom w:val="single" w:color="000000" w:sz="8" w:space="0"/>
              <w:right w:val="single" w:color="000000" w:sz="8" w:space="0"/>
            </w:tcBorders>
            <w:vAlign w:val="center"/>
          </w:tcPr>
          <w:p w14:paraId="0AEBDB0C">
            <w:pPr>
              <w:widowControl/>
              <w:jc w:val="center"/>
              <w:rPr>
                <w:rFonts w:ascii="仿宋" w:hAnsi="仿宋" w:eastAsia="仿宋" w:cs="仿宋"/>
                <w:kern w:val="0"/>
                <w:sz w:val="18"/>
                <w:szCs w:val="18"/>
              </w:rPr>
            </w:pPr>
            <w:r>
              <w:rPr>
                <w:rFonts w:hint="eastAsia" w:ascii="仿宋" w:hAnsi="仿宋" w:eastAsia="仿宋" w:cs="仿宋"/>
                <w:kern w:val="0"/>
                <w:sz w:val="18"/>
                <w:szCs w:val="18"/>
              </w:rPr>
              <w:t>助级十二</w:t>
            </w:r>
          </w:p>
        </w:tc>
        <w:tc>
          <w:tcPr>
            <w:tcW w:w="1005" w:type="dxa"/>
            <w:tcBorders>
              <w:top w:val="nil"/>
              <w:left w:val="nil"/>
              <w:bottom w:val="single" w:color="000000" w:sz="8" w:space="0"/>
              <w:right w:val="single" w:color="000000" w:sz="8" w:space="0"/>
            </w:tcBorders>
            <w:vAlign w:val="center"/>
          </w:tcPr>
          <w:p w14:paraId="072ADD96">
            <w:pPr>
              <w:widowControl/>
              <w:jc w:val="center"/>
              <w:rPr>
                <w:rFonts w:ascii="仿宋" w:hAnsi="仿宋" w:eastAsia="仿宋" w:cs="仿宋"/>
                <w:kern w:val="0"/>
                <w:sz w:val="18"/>
                <w:szCs w:val="18"/>
              </w:rPr>
            </w:pPr>
            <w:r>
              <w:rPr>
                <w:rFonts w:hint="eastAsia" w:ascii="仿宋" w:hAnsi="仿宋" w:eastAsia="仿宋" w:cs="仿宋"/>
                <w:kern w:val="0"/>
                <w:sz w:val="18"/>
                <w:szCs w:val="18"/>
              </w:rPr>
              <w:t>员级十三</w:t>
            </w:r>
          </w:p>
        </w:tc>
        <w:tc>
          <w:tcPr>
            <w:tcW w:w="945" w:type="dxa"/>
            <w:tcBorders>
              <w:top w:val="nil"/>
              <w:left w:val="nil"/>
              <w:bottom w:val="single" w:color="000000" w:sz="8" w:space="0"/>
              <w:right w:val="single" w:color="000000" w:sz="8" w:space="0"/>
            </w:tcBorders>
            <w:vAlign w:val="center"/>
          </w:tcPr>
          <w:p w14:paraId="0E5C01C8">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675" w:type="dxa"/>
            <w:tcBorders>
              <w:top w:val="nil"/>
              <w:left w:val="nil"/>
              <w:bottom w:val="single" w:color="000000" w:sz="8" w:space="0"/>
              <w:right w:val="single" w:color="auto" w:sz="8" w:space="0"/>
            </w:tcBorders>
            <w:vAlign w:val="center"/>
          </w:tcPr>
          <w:p w14:paraId="02A7336C">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r>
      <w:tr w14:paraId="4CCE6F5D">
        <w:tblPrEx>
          <w:tblCellMar>
            <w:top w:w="0" w:type="dxa"/>
            <w:left w:w="108" w:type="dxa"/>
            <w:bottom w:w="0" w:type="dxa"/>
            <w:right w:w="108" w:type="dxa"/>
          </w:tblCellMar>
        </w:tblPrEx>
        <w:trPr>
          <w:trHeight w:val="684" w:hRule="atLeast"/>
        </w:trPr>
        <w:tc>
          <w:tcPr>
            <w:tcW w:w="960" w:type="dxa"/>
            <w:tcBorders>
              <w:top w:val="nil"/>
              <w:left w:val="single" w:color="auto" w:sz="8" w:space="0"/>
              <w:bottom w:val="single" w:color="auto" w:sz="4" w:space="0"/>
              <w:right w:val="single" w:color="000000" w:sz="8" w:space="0"/>
            </w:tcBorders>
            <w:vAlign w:val="center"/>
          </w:tcPr>
          <w:p w14:paraId="512C63B4">
            <w:pPr>
              <w:widowControl/>
              <w:jc w:val="center"/>
              <w:rPr>
                <w:rFonts w:ascii="仿宋" w:hAnsi="仿宋" w:eastAsia="仿宋" w:cs="仿宋"/>
                <w:kern w:val="0"/>
                <w:sz w:val="18"/>
                <w:szCs w:val="18"/>
              </w:rPr>
            </w:pPr>
            <w:r>
              <w:rPr>
                <w:rFonts w:hint="eastAsia" w:ascii="仿宋" w:hAnsi="仿宋" w:eastAsia="仿宋" w:cs="仿宋"/>
                <w:kern w:val="0"/>
                <w:sz w:val="18"/>
                <w:szCs w:val="18"/>
              </w:rPr>
              <w:t>其他专技系列</w:t>
            </w:r>
          </w:p>
        </w:tc>
        <w:tc>
          <w:tcPr>
            <w:tcW w:w="970" w:type="dxa"/>
            <w:tcBorders>
              <w:top w:val="nil"/>
              <w:left w:val="nil"/>
              <w:bottom w:val="single" w:color="auto" w:sz="4" w:space="0"/>
              <w:right w:val="single" w:color="000000" w:sz="8" w:space="0"/>
            </w:tcBorders>
            <w:vAlign w:val="center"/>
          </w:tcPr>
          <w:p w14:paraId="4CBFFFD9">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45" w:type="dxa"/>
            <w:tcBorders>
              <w:top w:val="nil"/>
              <w:left w:val="nil"/>
              <w:bottom w:val="single" w:color="000000" w:sz="8" w:space="0"/>
              <w:right w:val="single" w:color="000000" w:sz="8" w:space="0"/>
            </w:tcBorders>
            <w:vAlign w:val="center"/>
          </w:tcPr>
          <w:p w14:paraId="6D0E7B70">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712ECBAE">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53A73D2A">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385DE7DA">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1020" w:type="dxa"/>
            <w:tcBorders>
              <w:top w:val="nil"/>
              <w:left w:val="nil"/>
              <w:bottom w:val="single" w:color="000000" w:sz="8" w:space="0"/>
              <w:right w:val="single" w:color="000000" w:sz="8" w:space="0"/>
            </w:tcBorders>
            <w:vAlign w:val="center"/>
          </w:tcPr>
          <w:p w14:paraId="29A52221">
            <w:pPr>
              <w:widowControl/>
              <w:jc w:val="center"/>
              <w:rPr>
                <w:rFonts w:ascii="仿宋" w:hAnsi="仿宋" w:eastAsia="仿宋" w:cs="仿宋"/>
                <w:kern w:val="0"/>
                <w:sz w:val="18"/>
                <w:szCs w:val="18"/>
              </w:rPr>
            </w:pPr>
            <w:r>
              <w:rPr>
                <w:rFonts w:hint="eastAsia" w:ascii="仿宋" w:hAnsi="仿宋" w:eastAsia="仿宋" w:cs="仿宋"/>
                <w:kern w:val="0"/>
                <w:sz w:val="18"/>
                <w:szCs w:val="18"/>
              </w:rPr>
              <w:t>副高六级</w:t>
            </w:r>
          </w:p>
        </w:tc>
        <w:tc>
          <w:tcPr>
            <w:tcW w:w="960" w:type="dxa"/>
            <w:tcBorders>
              <w:top w:val="nil"/>
              <w:left w:val="nil"/>
              <w:bottom w:val="single" w:color="000000" w:sz="8" w:space="0"/>
              <w:right w:val="single" w:color="000000" w:sz="8" w:space="0"/>
            </w:tcBorders>
            <w:vAlign w:val="center"/>
          </w:tcPr>
          <w:p w14:paraId="628F47D3">
            <w:pPr>
              <w:widowControl/>
              <w:jc w:val="center"/>
              <w:rPr>
                <w:rFonts w:ascii="仿宋" w:hAnsi="仿宋" w:eastAsia="仿宋" w:cs="仿宋"/>
                <w:kern w:val="0"/>
                <w:sz w:val="18"/>
                <w:szCs w:val="18"/>
              </w:rPr>
            </w:pPr>
            <w:r>
              <w:rPr>
                <w:rFonts w:hint="eastAsia" w:ascii="仿宋" w:hAnsi="仿宋" w:eastAsia="仿宋" w:cs="仿宋"/>
                <w:kern w:val="0"/>
                <w:sz w:val="18"/>
                <w:szCs w:val="18"/>
              </w:rPr>
              <w:t>副高七级</w:t>
            </w:r>
          </w:p>
        </w:tc>
        <w:tc>
          <w:tcPr>
            <w:tcW w:w="990" w:type="dxa"/>
            <w:tcBorders>
              <w:top w:val="nil"/>
              <w:left w:val="nil"/>
              <w:bottom w:val="single" w:color="000000" w:sz="8" w:space="0"/>
              <w:right w:val="single" w:color="000000" w:sz="8" w:space="0"/>
            </w:tcBorders>
            <w:vAlign w:val="center"/>
          </w:tcPr>
          <w:p w14:paraId="018B89F0">
            <w:pPr>
              <w:widowControl/>
              <w:jc w:val="center"/>
              <w:rPr>
                <w:rFonts w:ascii="仿宋" w:hAnsi="仿宋" w:eastAsia="仿宋" w:cs="仿宋"/>
                <w:kern w:val="0"/>
                <w:sz w:val="18"/>
                <w:szCs w:val="18"/>
              </w:rPr>
            </w:pPr>
            <w:r>
              <w:rPr>
                <w:rFonts w:hint="eastAsia" w:ascii="仿宋" w:hAnsi="仿宋" w:eastAsia="仿宋" w:cs="仿宋"/>
                <w:kern w:val="0"/>
                <w:sz w:val="18"/>
                <w:szCs w:val="18"/>
              </w:rPr>
              <w:t>中级八级</w:t>
            </w:r>
          </w:p>
        </w:tc>
        <w:tc>
          <w:tcPr>
            <w:tcW w:w="975" w:type="dxa"/>
            <w:tcBorders>
              <w:top w:val="nil"/>
              <w:left w:val="nil"/>
              <w:bottom w:val="single" w:color="000000" w:sz="8" w:space="0"/>
              <w:right w:val="single" w:color="000000" w:sz="8" w:space="0"/>
            </w:tcBorders>
            <w:vAlign w:val="center"/>
          </w:tcPr>
          <w:p w14:paraId="47DE2A19">
            <w:pPr>
              <w:widowControl/>
              <w:jc w:val="center"/>
              <w:rPr>
                <w:rFonts w:ascii="仿宋" w:hAnsi="仿宋" w:eastAsia="仿宋" w:cs="仿宋"/>
                <w:kern w:val="0"/>
                <w:sz w:val="18"/>
                <w:szCs w:val="18"/>
              </w:rPr>
            </w:pPr>
            <w:r>
              <w:rPr>
                <w:rFonts w:hint="eastAsia" w:ascii="仿宋" w:hAnsi="仿宋" w:eastAsia="仿宋" w:cs="仿宋"/>
                <w:kern w:val="0"/>
                <w:sz w:val="18"/>
                <w:szCs w:val="18"/>
              </w:rPr>
              <w:t>中级九级</w:t>
            </w:r>
          </w:p>
        </w:tc>
        <w:tc>
          <w:tcPr>
            <w:tcW w:w="990" w:type="dxa"/>
            <w:tcBorders>
              <w:top w:val="nil"/>
              <w:left w:val="nil"/>
              <w:bottom w:val="single" w:color="000000" w:sz="8" w:space="0"/>
              <w:right w:val="single" w:color="000000" w:sz="8" w:space="0"/>
            </w:tcBorders>
            <w:vAlign w:val="center"/>
          </w:tcPr>
          <w:p w14:paraId="5789AB6B">
            <w:pPr>
              <w:widowControl/>
              <w:jc w:val="center"/>
              <w:rPr>
                <w:rFonts w:ascii="仿宋" w:hAnsi="仿宋" w:eastAsia="仿宋" w:cs="仿宋"/>
                <w:kern w:val="0"/>
                <w:sz w:val="18"/>
                <w:szCs w:val="18"/>
              </w:rPr>
            </w:pPr>
            <w:r>
              <w:rPr>
                <w:rFonts w:hint="eastAsia" w:ascii="仿宋" w:hAnsi="仿宋" w:eastAsia="仿宋" w:cs="仿宋"/>
                <w:kern w:val="0"/>
                <w:sz w:val="18"/>
                <w:szCs w:val="18"/>
              </w:rPr>
              <w:t>中级十级</w:t>
            </w:r>
          </w:p>
        </w:tc>
        <w:tc>
          <w:tcPr>
            <w:tcW w:w="1005" w:type="dxa"/>
            <w:tcBorders>
              <w:top w:val="nil"/>
              <w:left w:val="nil"/>
              <w:bottom w:val="single" w:color="000000" w:sz="8" w:space="0"/>
              <w:right w:val="single" w:color="000000" w:sz="8" w:space="0"/>
            </w:tcBorders>
            <w:vAlign w:val="center"/>
          </w:tcPr>
          <w:p w14:paraId="1E1D5387">
            <w:pPr>
              <w:widowControl/>
              <w:jc w:val="center"/>
              <w:rPr>
                <w:rFonts w:ascii="仿宋" w:hAnsi="仿宋" w:eastAsia="仿宋" w:cs="仿宋"/>
                <w:kern w:val="0"/>
                <w:sz w:val="18"/>
                <w:szCs w:val="18"/>
              </w:rPr>
            </w:pPr>
            <w:r>
              <w:rPr>
                <w:rFonts w:hint="eastAsia" w:ascii="仿宋" w:hAnsi="仿宋" w:eastAsia="仿宋" w:cs="仿宋"/>
                <w:kern w:val="0"/>
                <w:sz w:val="18"/>
                <w:szCs w:val="18"/>
              </w:rPr>
              <w:t>助级十一</w:t>
            </w:r>
          </w:p>
        </w:tc>
        <w:tc>
          <w:tcPr>
            <w:tcW w:w="1005" w:type="dxa"/>
            <w:tcBorders>
              <w:top w:val="nil"/>
              <w:left w:val="nil"/>
              <w:bottom w:val="single" w:color="000000" w:sz="8" w:space="0"/>
              <w:right w:val="single" w:color="000000" w:sz="8" w:space="0"/>
            </w:tcBorders>
            <w:vAlign w:val="center"/>
          </w:tcPr>
          <w:p w14:paraId="4F6713AC">
            <w:pPr>
              <w:widowControl/>
              <w:jc w:val="center"/>
              <w:rPr>
                <w:rFonts w:ascii="仿宋" w:hAnsi="仿宋" w:eastAsia="仿宋" w:cs="仿宋"/>
                <w:kern w:val="0"/>
                <w:sz w:val="18"/>
                <w:szCs w:val="18"/>
              </w:rPr>
            </w:pPr>
            <w:r>
              <w:rPr>
                <w:rFonts w:hint="eastAsia" w:ascii="仿宋" w:hAnsi="仿宋" w:eastAsia="仿宋" w:cs="仿宋"/>
                <w:kern w:val="0"/>
                <w:sz w:val="18"/>
                <w:szCs w:val="18"/>
              </w:rPr>
              <w:t>助级十二</w:t>
            </w:r>
          </w:p>
        </w:tc>
        <w:tc>
          <w:tcPr>
            <w:tcW w:w="945" w:type="dxa"/>
            <w:tcBorders>
              <w:top w:val="nil"/>
              <w:left w:val="nil"/>
              <w:bottom w:val="single" w:color="000000" w:sz="8" w:space="0"/>
              <w:right w:val="single" w:color="000000" w:sz="8" w:space="0"/>
            </w:tcBorders>
            <w:vAlign w:val="center"/>
          </w:tcPr>
          <w:p w14:paraId="2054777A">
            <w:pPr>
              <w:widowControl/>
              <w:jc w:val="center"/>
              <w:rPr>
                <w:rFonts w:ascii="仿宋" w:hAnsi="仿宋" w:eastAsia="仿宋" w:cs="仿宋"/>
                <w:kern w:val="0"/>
                <w:sz w:val="18"/>
                <w:szCs w:val="18"/>
              </w:rPr>
            </w:pPr>
            <w:r>
              <w:rPr>
                <w:rFonts w:hint="eastAsia" w:ascii="仿宋" w:hAnsi="仿宋" w:eastAsia="仿宋" w:cs="仿宋"/>
                <w:kern w:val="0"/>
                <w:sz w:val="18"/>
                <w:szCs w:val="18"/>
              </w:rPr>
              <w:t>员级十三</w:t>
            </w:r>
          </w:p>
        </w:tc>
        <w:tc>
          <w:tcPr>
            <w:tcW w:w="675" w:type="dxa"/>
            <w:tcBorders>
              <w:top w:val="nil"/>
              <w:left w:val="nil"/>
              <w:bottom w:val="single" w:color="000000" w:sz="8" w:space="0"/>
              <w:right w:val="single" w:color="auto" w:sz="8" w:space="0"/>
            </w:tcBorders>
            <w:vAlign w:val="center"/>
          </w:tcPr>
          <w:p w14:paraId="269D2B4D">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r>
      <w:tr w14:paraId="25DE86F7">
        <w:tblPrEx>
          <w:tblCellMar>
            <w:top w:w="0" w:type="dxa"/>
            <w:left w:w="108" w:type="dxa"/>
            <w:bottom w:w="0" w:type="dxa"/>
            <w:right w:w="108" w:type="dxa"/>
          </w:tblCellMar>
        </w:tblPrEx>
        <w:trPr>
          <w:trHeight w:val="490" w:hRule="atLeast"/>
        </w:trPr>
        <w:tc>
          <w:tcPr>
            <w:tcW w:w="960" w:type="dxa"/>
            <w:vMerge w:val="restart"/>
            <w:tcBorders>
              <w:top w:val="single" w:color="auto" w:sz="4" w:space="0"/>
              <w:left w:val="single" w:color="auto" w:sz="8" w:space="0"/>
              <w:right w:val="single" w:color="000000" w:sz="8" w:space="0"/>
            </w:tcBorders>
            <w:vAlign w:val="center"/>
          </w:tcPr>
          <w:p w14:paraId="2CBBC650">
            <w:pPr>
              <w:widowControl/>
              <w:jc w:val="center"/>
              <w:rPr>
                <w:rFonts w:ascii="仿宋" w:hAnsi="仿宋" w:eastAsia="仿宋" w:cs="仿宋"/>
                <w:kern w:val="0"/>
                <w:sz w:val="18"/>
                <w:szCs w:val="18"/>
              </w:rPr>
            </w:pPr>
            <w:r>
              <w:rPr>
                <w:rFonts w:hint="eastAsia" w:ascii="仿宋" w:hAnsi="仿宋" w:eastAsia="仿宋" w:cs="仿宋"/>
                <w:kern w:val="0"/>
                <w:sz w:val="18"/>
                <w:szCs w:val="18"/>
              </w:rPr>
              <w:t>管理系列</w:t>
            </w:r>
          </w:p>
        </w:tc>
        <w:tc>
          <w:tcPr>
            <w:tcW w:w="970" w:type="dxa"/>
            <w:tcBorders>
              <w:top w:val="single" w:color="auto" w:sz="4" w:space="0"/>
              <w:left w:val="nil"/>
              <w:bottom w:val="single" w:color="auto" w:sz="4" w:space="0"/>
              <w:right w:val="single" w:color="000000" w:sz="8" w:space="0"/>
            </w:tcBorders>
            <w:vAlign w:val="center"/>
          </w:tcPr>
          <w:p w14:paraId="32CBA0AD">
            <w:pPr>
              <w:jc w:val="center"/>
              <w:rPr>
                <w:rFonts w:ascii="仿宋" w:hAnsi="仿宋" w:eastAsia="仿宋" w:cs="仿宋"/>
                <w:kern w:val="0"/>
                <w:sz w:val="18"/>
                <w:szCs w:val="18"/>
              </w:rPr>
            </w:pPr>
          </w:p>
        </w:tc>
        <w:tc>
          <w:tcPr>
            <w:tcW w:w="945" w:type="dxa"/>
            <w:tcBorders>
              <w:top w:val="nil"/>
              <w:left w:val="nil"/>
              <w:bottom w:val="single" w:color="000000" w:sz="8" w:space="0"/>
              <w:right w:val="single" w:color="000000" w:sz="8" w:space="0"/>
            </w:tcBorders>
            <w:vAlign w:val="center"/>
          </w:tcPr>
          <w:p w14:paraId="645FD16A">
            <w:pPr>
              <w:widowControl/>
              <w:jc w:val="center"/>
              <w:rPr>
                <w:rFonts w:ascii="仿宋" w:hAnsi="仿宋" w:eastAsia="仿宋" w:cs="仿宋"/>
                <w:kern w:val="0"/>
                <w:sz w:val="18"/>
                <w:szCs w:val="18"/>
              </w:rPr>
            </w:pPr>
          </w:p>
        </w:tc>
        <w:tc>
          <w:tcPr>
            <w:tcW w:w="975" w:type="dxa"/>
            <w:tcBorders>
              <w:top w:val="nil"/>
              <w:left w:val="nil"/>
              <w:bottom w:val="single" w:color="000000" w:sz="8" w:space="0"/>
              <w:right w:val="single" w:color="000000" w:sz="8" w:space="0"/>
            </w:tcBorders>
            <w:vAlign w:val="center"/>
          </w:tcPr>
          <w:p w14:paraId="28FF25A8">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1950" w:type="dxa"/>
            <w:gridSpan w:val="2"/>
            <w:tcBorders>
              <w:top w:val="single" w:color="000000" w:sz="8" w:space="0"/>
              <w:left w:val="nil"/>
              <w:bottom w:val="single" w:color="000000" w:sz="8" w:space="0"/>
              <w:right w:val="single" w:color="000000" w:sz="8" w:space="0"/>
            </w:tcBorders>
            <w:vAlign w:val="center"/>
          </w:tcPr>
          <w:p w14:paraId="488A3CA4">
            <w:pPr>
              <w:widowControl/>
              <w:jc w:val="center"/>
              <w:rPr>
                <w:rFonts w:ascii="仿宋" w:hAnsi="仿宋" w:eastAsia="仿宋" w:cs="仿宋"/>
                <w:kern w:val="0"/>
                <w:sz w:val="18"/>
                <w:szCs w:val="18"/>
              </w:rPr>
            </w:pPr>
            <w:r>
              <w:rPr>
                <w:rFonts w:hint="eastAsia" w:ascii="仿宋" w:hAnsi="仿宋" w:eastAsia="仿宋" w:cs="仿宋"/>
                <w:kern w:val="0"/>
                <w:sz w:val="18"/>
                <w:szCs w:val="18"/>
              </w:rPr>
              <w:t>六级职员</w:t>
            </w:r>
          </w:p>
        </w:tc>
        <w:tc>
          <w:tcPr>
            <w:tcW w:w="1020" w:type="dxa"/>
            <w:tcBorders>
              <w:top w:val="nil"/>
              <w:left w:val="nil"/>
              <w:bottom w:val="single" w:color="000000" w:sz="8" w:space="0"/>
              <w:right w:val="single" w:color="000000" w:sz="8" w:space="0"/>
            </w:tcBorders>
            <w:vAlign w:val="center"/>
          </w:tcPr>
          <w:p w14:paraId="2C6A1169">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2925" w:type="dxa"/>
            <w:gridSpan w:val="3"/>
            <w:tcBorders>
              <w:top w:val="single" w:color="000000" w:sz="8" w:space="0"/>
              <w:left w:val="nil"/>
              <w:bottom w:val="single" w:color="000000" w:sz="8" w:space="0"/>
              <w:right w:val="single" w:color="000000" w:sz="8" w:space="0"/>
            </w:tcBorders>
            <w:vAlign w:val="center"/>
          </w:tcPr>
          <w:p w14:paraId="7E2C5379">
            <w:pPr>
              <w:widowControl/>
              <w:jc w:val="center"/>
              <w:rPr>
                <w:rFonts w:ascii="仿宋" w:hAnsi="仿宋" w:eastAsia="仿宋" w:cs="仿宋"/>
                <w:kern w:val="0"/>
                <w:sz w:val="18"/>
                <w:szCs w:val="18"/>
              </w:rPr>
            </w:pPr>
            <w:r>
              <w:rPr>
                <w:rFonts w:hint="eastAsia" w:ascii="仿宋" w:hAnsi="仿宋" w:eastAsia="仿宋" w:cs="仿宋"/>
                <w:kern w:val="0"/>
                <w:sz w:val="18"/>
                <w:szCs w:val="18"/>
              </w:rPr>
              <w:t>八级职员</w:t>
            </w:r>
          </w:p>
        </w:tc>
        <w:tc>
          <w:tcPr>
            <w:tcW w:w="1995" w:type="dxa"/>
            <w:gridSpan w:val="2"/>
            <w:tcBorders>
              <w:top w:val="single" w:color="000000" w:sz="8" w:space="0"/>
              <w:left w:val="nil"/>
              <w:bottom w:val="single" w:color="000000" w:sz="8" w:space="0"/>
              <w:right w:val="single" w:color="000000" w:sz="8" w:space="0"/>
            </w:tcBorders>
            <w:vAlign w:val="center"/>
          </w:tcPr>
          <w:p w14:paraId="4D612FDF">
            <w:pPr>
              <w:widowControl/>
              <w:jc w:val="center"/>
              <w:rPr>
                <w:rFonts w:ascii="仿宋" w:hAnsi="仿宋" w:eastAsia="仿宋" w:cs="仿宋"/>
                <w:kern w:val="0"/>
                <w:sz w:val="18"/>
                <w:szCs w:val="18"/>
              </w:rPr>
            </w:pPr>
            <w:r>
              <w:rPr>
                <w:rFonts w:hint="eastAsia" w:ascii="仿宋" w:hAnsi="仿宋" w:eastAsia="仿宋" w:cs="仿宋"/>
                <w:kern w:val="0"/>
                <w:sz w:val="18"/>
                <w:szCs w:val="18"/>
              </w:rPr>
              <w:t>九级职员</w:t>
            </w:r>
          </w:p>
        </w:tc>
        <w:tc>
          <w:tcPr>
            <w:tcW w:w="1950" w:type="dxa"/>
            <w:gridSpan w:val="2"/>
            <w:tcBorders>
              <w:top w:val="single" w:color="000000" w:sz="8" w:space="0"/>
              <w:left w:val="nil"/>
              <w:bottom w:val="single" w:color="000000" w:sz="8" w:space="0"/>
              <w:right w:val="single" w:color="000000" w:sz="8" w:space="0"/>
            </w:tcBorders>
            <w:vAlign w:val="center"/>
          </w:tcPr>
          <w:p w14:paraId="6B360920">
            <w:pPr>
              <w:widowControl/>
              <w:jc w:val="center"/>
              <w:rPr>
                <w:rFonts w:ascii="仿宋" w:hAnsi="仿宋" w:eastAsia="仿宋" w:cs="仿宋"/>
                <w:kern w:val="0"/>
                <w:sz w:val="18"/>
                <w:szCs w:val="18"/>
              </w:rPr>
            </w:pPr>
            <w:r>
              <w:rPr>
                <w:rFonts w:hint="eastAsia" w:ascii="仿宋" w:hAnsi="仿宋" w:eastAsia="仿宋" w:cs="仿宋"/>
                <w:kern w:val="0"/>
                <w:sz w:val="18"/>
                <w:szCs w:val="18"/>
              </w:rPr>
              <w:t>十级职员</w:t>
            </w:r>
          </w:p>
        </w:tc>
        <w:tc>
          <w:tcPr>
            <w:tcW w:w="675" w:type="dxa"/>
            <w:tcBorders>
              <w:top w:val="nil"/>
              <w:left w:val="nil"/>
              <w:bottom w:val="single" w:color="000000" w:sz="8" w:space="0"/>
              <w:right w:val="single" w:color="auto" w:sz="8" w:space="0"/>
            </w:tcBorders>
            <w:vAlign w:val="center"/>
          </w:tcPr>
          <w:p w14:paraId="3A501720">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r>
      <w:tr w14:paraId="19521BC3">
        <w:tblPrEx>
          <w:tblCellMar>
            <w:top w:w="0" w:type="dxa"/>
            <w:left w:w="108" w:type="dxa"/>
            <w:bottom w:w="0" w:type="dxa"/>
            <w:right w:w="108" w:type="dxa"/>
          </w:tblCellMar>
        </w:tblPrEx>
        <w:trPr>
          <w:trHeight w:val="500" w:hRule="atLeast"/>
        </w:trPr>
        <w:tc>
          <w:tcPr>
            <w:tcW w:w="960" w:type="dxa"/>
            <w:vMerge w:val="continue"/>
            <w:tcBorders>
              <w:left w:val="single" w:color="auto" w:sz="8" w:space="0"/>
              <w:bottom w:val="single" w:color="000000" w:sz="8" w:space="0"/>
              <w:right w:val="single" w:color="000000" w:sz="8" w:space="0"/>
            </w:tcBorders>
            <w:vAlign w:val="center"/>
          </w:tcPr>
          <w:p w14:paraId="26E5ADCE">
            <w:pPr>
              <w:jc w:val="left"/>
              <w:rPr>
                <w:rFonts w:ascii="仿宋" w:hAnsi="仿宋" w:eastAsia="仿宋" w:cs="仿宋"/>
                <w:kern w:val="0"/>
                <w:sz w:val="18"/>
                <w:szCs w:val="18"/>
              </w:rPr>
            </w:pPr>
          </w:p>
        </w:tc>
        <w:tc>
          <w:tcPr>
            <w:tcW w:w="970" w:type="dxa"/>
            <w:tcBorders>
              <w:top w:val="single" w:color="auto" w:sz="4" w:space="0"/>
              <w:left w:val="nil"/>
              <w:bottom w:val="single" w:color="000000" w:sz="8" w:space="0"/>
              <w:right w:val="single" w:color="000000" w:sz="8" w:space="0"/>
            </w:tcBorders>
            <w:vAlign w:val="center"/>
          </w:tcPr>
          <w:p w14:paraId="52440353">
            <w:pPr>
              <w:jc w:val="center"/>
              <w:rPr>
                <w:rFonts w:ascii="仿宋" w:hAnsi="仿宋" w:eastAsia="仿宋" w:cs="仿宋"/>
                <w:kern w:val="0"/>
                <w:sz w:val="18"/>
                <w:szCs w:val="18"/>
              </w:rPr>
            </w:pPr>
          </w:p>
        </w:tc>
        <w:tc>
          <w:tcPr>
            <w:tcW w:w="945" w:type="dxa"/>
            <w:tcBorders>
              <w:top w:val="nil"/>
              <w:left w:val="nil"/>
              <w:bottom w:val="single" w:color="000000" w:sz="8" w:space="0"/>
              <w:right w:val="single" w:color="000000" w:sz="8" w:space="0"/>
            </w:tcBorders>
            <w:vAlign w:val="center"/>
          </w:tcPr>
          <w:p w14:paraId="43BAD834">
            <w:pPr>
              <w:widowControl/>
              <w:jc w:val="center"/>
              <w:rPr>
                <w:rFonts w:ascii="仿宋" w:hAnsi="仿宋" w:eastAsia="仿宋" w:cs="仿宋"/>
                <w:kern w:val="0"/>
                <w:sz w:val="18"/>
                <w:szCs w:val="18"/>
              </w:rPr>
            </w:pPr>
          </w:p>
        </w:tc>
        <w:tc>
          <w:tcPr>
            <w:tcW w:w="975" w:type="dxa"/>
            <w:tcBorders>
              <w:top w:val="nil"/>
              <w:left w:val="nil"/>
              <w:bottom w:val="single" w:color="000000" w:sz="8" w:space="0"/>
              <w:right w:val="single" w:color="000000" w:sz="8" w:space="0"/>
            </w:tcBorders>
            <w:vAlign w:val="center"/>
          </w:tcPr>
          <w:p w14:paraId="6915F354">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4E89BE48">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2955" w:type="dxa"/>
            <w:gridSpan w:val="3"/>
            <w:tcBorders>
              <w:top w:val="single" w:color="000000" w:sz="8" w:space="0"/>
              <w:left w:val="nil"/>
              <w:bottom w:val="single" w:color="000000" w:sz="8" w:space="0"/>
              <w:right w:val="single" w:color="000000" w:sz="8" w:space="0"/>
            </w:tcBorders>
            <w:vAlign w:val="center"/>
          </w:tcPr>
          <w:p w14:paraId="74E5FFA8">
            <w:pPr>
              <w:widowControl/>
              <w:jc w:val="center"/>
              <w:rPr>
                <w:rFonts w:ascii="仿宋" w:hAnsi="仿宋" w:eastAsia="仿宋" w:cs="仿宋"/>
                <w:kern w:val="0"/>
                <w:sz w:val="18"/>
                <w:szCs w:val="18"/>
              </w:rPr>
            </w:pPr>
            <w:r>
              <w:rPr>
                <w:rFonts w:hint="eastAsia" w:ascii="仿宋" w:hAnsi="仿宋" w:eastAsia="仿宋" w:cs="仿宋"/>
                <w:kern w:val="0"/>
                <w:sz w:val="18"/>
                <w:szCs w:val="18"/>
              </w:rPr>
              <w:t>七级职员</w:t>
            </w:r>
          </w:p>
        </w:tc>
        <w:tc>
          <w:tcPr>
            <w:tcW w:w="990" w:type="dxa"/>
            <w:tcBorders>
              <w:top w:val="nil"/>
              <w:left w:val="nil"/>
              <w:bottom w:val="single" w:color="000000" w:sz="8" w:space="0"/>
              <w:right w:val="single" w:color="000000" w:sz="8" w:space="0"/>
            </w:tcBorders>
            <w:vAlign w:val="center"/>
          </w:tcPr>
          <w:p w14:paraId="3CC6823E">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0B569EDF">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90" w:type="dxa"/>
            <w:tcBorders>
              <w:top w:val="nil"/>
              <w:left w:val="nil"/>
              <w:bottom w:val="single" w:color="000000" w:sz="8" w:space="0"/>
              <w:right w:val="single" w:color="000000" w:sz="8" w:space="0"/>
            </w:tcBorders>
            <w:vAlign w:val="center"/>
          </w:tcPr>
          <w:p w14:paraId="209857C7">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1005" w:type="dxa"/>
            <w:tcBorders>
              <w:top w:val="nil"/>
              <w:left w:val="nil"/>
              <w:bottom w:val="single" w:color="000000" w:sz="8" w:space="0"/>
              <w:right w:val="single" w:color="000000" w:sz="8" w:space="0"/>
            </w:tcBorders>
            <w:vAlign w:val="center"/>
          </w:tcPr>
          <w:p w14:paraId="7D191C37">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1005" w:type="dxa"/>
            <w:tcBorders>
              <w:top w:val="nil"/>
              <w:left w:val="nil"/>
              <w:bottom w:val="single" w:color="000000" w:sz="8" w:space="0"/>
              <w:right w:val="single" w:color="000000" w:sz="8" w:space="0"/>
            </w:tcBorders>
            <w:vAlign w:val="center"/>
          </w:tcPr>
          <w:p w14:paraId="374486CB">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45" w:type="dxa"/>
            <w:tcBorders>
              <w:top w:val="nil"/>
              <w:left w:val="nil"/>
              <w:bottom w:val="single" w:color="000000" w:sz="8" w:space="0"/>
              <w:right w:val="single" w:color="000000" w:sz="8" w:space="0"/>
            </w:tcBorders>
            <w:vAlign w:val="center"/>
          </w:tcPr>
          <w:p w14:paraId="147E8C4C">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675" w:type="dxa"/>
            <w:tcBorders>
              <w:top w:val="nil"/>
              <w:left w:val="nil"/>
              <w:bottom w:val="single" w:color="000000" w:sz="8" w:space="0"/>
              <w:right w:val="single" w:color="auto" w:sz="8" w:space="0"/>
            </w:tcBorders>
            <w:vAlign w:val="center"/>
          </w:tcPr>
          <w:p w14:paraId="044841A0">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r>
      <w:tr w14:paraId="0BE7C64B">
        <w:tblPrEx>
          <w:tblCellMar>
            <w:top w:w="0" w:type="dxa"/>
            <w:left w:w="108" w:type="dxa"/>
            <w:bottom w:w="0" w:type="dxa"/>
            <w:right w:w="108" w:type="dxa"/>
          </w:tblCellMar>
        </w:tblPrEx>
        <w:trPr>
          <w:trHeight w:val="550" w:hRule="atLeast"/>
        </w:trPr>
        <w:tc>
          <w:tcPr>
            <w:tcW w:w="960" w:type="dxa"/>
            <w:vMerge w:val="restart"/>
            <w:tcBorders>
              <w:top w:val="nil"/>
              <w:left w:val="single" w:color="auto" w:sz="8" w:space="0"/>
              <w:bottom w:val="single" w:color="000000" w:sz="8" w:space="0"/>
              <w:right w:val="single" w:color="000000" w:sz="8" w:space="0"/>
            </w:tcBorders>
            <w:vAlign w:val="center"/>
          </w:tcPr>
          <w:p w14:paraId="4A3965C7">
            <w:pPr>
              <w:widowControl/>
              <w:jc w:val="center"/>
              <w:rPr>
                <w:rFonts w:ascii="仿宋" w:hAnsi="仿宋" w:eastAsia="仿宋" w:cs="仿宋"/>
                <w:kern w:val="0"/>
                <w:sz w:val="18"/>
                <w:szCs w:val="18"/>
              </w:rPr>
            </w:pPr>
            <w:r>
              <w:rPr>
                <w:rFonts w:hint="eastAsia" w:ascii="仿宋" w:hAnsi="仿宋" w:eastAsia="仿宋" w:cs="仿宋"/>
                <w:kern w:val="0"/>
                <w:sz w:val="18"/>
                <w:szCs w:val="18"/>
              </w:rPr>
              <w:t>工勤系列</w:t>
            </w:r>
          </w:p>
        </w:tc>
        <w:tc>
          <w:tcPr>
            <w:tcW w:w="970" w:type="dxa"/>
            <w:tcBorders>
              <w:top w:val="nil"/>
              <w:left w:val="nil"/>
              <w:bottom w:val="single" w:color="000000" w:sz="8" w:space="0"/>
              <w:right w:val="single" w:color="000000" w:sz="8" w:space="0"/>
            </w:tcBorders>
            <w:vAlign w:val="center"/>
          </w:tcPr>
          <w:p w14:paraId="4445AF76">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45" w:type="dxa"/>
            <w:tcBorders>
              <w:top w:val="nil"/>
              <w:left w:val="nil"/>
              <w:bottom w:val="single" w:color="000000" w:sz="8" w:space="0"/>
              <w:right w:val="single" w:color="000000" w:sz="8" w:space="0"/>
            </w:tcBorders>
            <w:vAlign w:val="center"/>
          </w:tcPr>
          <w:p w14:paraId="4C81EBCB">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3181485E">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27E9B831">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000000" w:sz="8" w:space="0"/>
              <w:right w:val="single" w:color="000000" w:sz="8" w:space="0"/>
            </w:tcBorders>
            <w:vAlign w:val="center"/>
          </w:tcPr>
          <w:p w14:paraId="7B0D97E7">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2970" w:type="dxa"/>
            <w:gridSpan w:val="3"/>
            <w:tcBorders>
              <w:top w:val="single" w:color="000000" w:sz="8" w:space="0"/>
              <w:left w:val="nil"/>
              <w:bottom w:val="single" w:color="000000" w:sz="8" w:space="0"/>
              <w:right w:val="single" w:color="000000" w:sz="8" w:space="0"/>
            </w:tcBorders>
            <w:vAlign w:val="center"/>
          </w:tcPr>
          <w:p w14:paraId="23548F22">
            <w:pPr>
              <w:widowControl/>
              <w:jc w:val="center"/>
              <w:rPr>
                <w:rFonts w:ascii="仿宋" w:hAnsi="仿宋" w:eastAsia="仿宋" w:cs="仿宋"/>
                <w:kern w:val="0"/>
                <w:sz w:val="18"/>
                <w:szCs w:val="18"/>
              </w:rPr>
            </w:pPr>
            <w:r>
              <w:rPr>
                <w:rFonts w:hint="eastAsia" w:ascii="仿宋" w:hAnsi="仿宋" w:eastAsia="仿宋" w:cs="仿宋"/>
                <w:kern w:val="0"/>
                <w:sz w:val="18"/>
                <w:szCs w:val="18"/>
              </w:rPr>
              <w:t>1级</w:t>
            </w:r>
          </w:p>
        </w:tc>
        <w:tc>
          <w:tcPr>
            <w:tcW w:w="975" w:type="dxa"/>
            <w:tcBorders>
              <w:top w:val="nil"/>
              <w:left w:val="nil"/>
              <w:bottom w:val="single" w:color="000000" w:sz="8" w:space="0"/>
              <w:right w:val="single" w:color="000000" w:sz="8" w:space="0"/>
            </w:tcBorders>
            <w:vAlign w:val="center"/>
          </w:tcPr>
          <w:p w14:paraId="2705B875">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3000" w:type="dxa"/>
            <w:gridSpan w:val="3"/>
            <w:tcBorders>
              <w:top w:val="single" w:color="000000" w:sz="8" w:space="0"/>
              <w:left w:val="nil"/>
              <w:bottom w:val="single" w:color="000000" w:sz="8" w:space="0"/>
              <w:right w:val="single" w:color="000000" w:sz="8" w:space="0"/>
            </w:tcBorders>
            <w:vAlign w:val="center"/>
          </w:tcPr>
          <w:p w14:paraId="22F41BA2">
            <w:pPr>
              <w:widowControl/>
              <w:jc w:val="center"/>
              <w:rPr>
                <w:rFonts w:ascii="仿宋" w:hAnsi="仿宋" w:eastAsia="仿宋" w:cs="仿宋"/>
                <w:kern w:val="0"/>
                <w:sz w:val="18"/>
                <w:szCs w:val="18"/>
              </w:rPr>
            </w:pPr>
            <w:r>
              <w:rPr>
                <w:rFonts w:hint="eastAsia" w:ascii="仿宋" w:hAnsi="仿宋" w:eastAsia="仿宋" w:cs="仿宋"/>
                <w:kern w:val="0"/>
                <w:sz w:val="18"/>
                <w:szCs w:val="18"/>
              </w:rPr>
              <w:t>3级</w:t>
            </w:r>
          </w:p>
        </w:tc>
        <w:tc>
          <w:tcPr>
            <w:tcW w:w="945" w:type="dxa"/>
            <w:tcBorders>
              <w:top w:val="nil"/>
              <w:left w:val="nil"/>
              <w:bottom w:val="single" w:color="000000" w:sz="8" w:space="0"/>
              <w:right w:val="single" w:color="000000" w:sz="8" w:space="0"/>
            </w:tcBorders>
            <w:vAlign w:val="center"/>
          </w:tcPr>
          <w:p w14:paraId="587C8556">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675" w:type="dxa"/>
            <w:tcBorders>
              <w:top w:val="nil"/>
              <w:left w:val="nil"/>
              <w:bottom w:val="single" w:color="000000" w:sz="8" w:space="0"/>
              <w:right w:val="single" w:color="auto" w:sz="8" w:space="0"/>
            </w:tcBorders>
            <w:vAlign w:val="center"/>
          </w:tcPr>
          <w:p w14:paraId="5BFFE769">
            <w:pPr>
              <w:widowControl/>
              <w:jc w:val="center"/>
              <w:rPr>
                <w:rFonts w:ascii="仿宋" w:hAnsi="仿宋" w:eastAsia="仿宋" w:cs="仿宋"/>
                <w:kern w:val="0"/>
                <w:sz w:val="18"/>
                <w:szCs w:val="18"/>
              </w:rPr>
            </w:pPr>
            <w:r>
              <w:rPr>
                <w:rFonts w:hint="eastAsia" w:ascii="仿宋" w:hAnsi="仿宋" w:eastAsia="仿宋" w:cs="仿宋"/>
                <w:kern w:val="0"/>
                <w:sz w:val="18"/>
                <w:szCs w:val="18"/>
              </w:rPr>
              <w:t>5级</w:t>
            </w:r>
          </w:p>
        </w:tc>
      </w:tr>
      <w:tr w14:paraId="2D7F030A">
        <w:tblPrEx>
          <w:tblCellMar>
            <w:top w:w="0" w:type="dxa"/>
            <w:left w:w="108" w:type="dxa"/>
            <w:bottom w:w="0" w:type="dxa"/>
            <w:right w:w="108" w:type="dxa"/>
          </w:tblCellMar>
        </w:tblPrEx>
        <w:trPr>
          <w:trHeight w:val="630" w:hRule="atLeast"/>
        </w:trPr>
        <w:tc>
          <w:tcPr>
            <w:tcW w:w="960" w:type="dxa"/>
            <w:vMerge w:val="continue"/>
            <w:tcBorders>
              <w:top w:val="nil"/>
              <w:left w:val="single" w:color="auto" w:sz="8" w:space="0"/>
              <w:bottom w:val="single" w:color="000000" w:sz="8" w:space="0"/>
              <w:right w:val="single" w:color="000000" w:sz="8" w:space="0"/>
            </w:tcBorders>
            <w:vAlign w:val="center"/>
          </w:tcPr>
          <w:p w14:paraId="49B90B2F">
            <w:pPr>
              <w:widowControl/>
              <w:jc w:val="left"/>
              <w:rPr>
                <w:rFonts w:ascii="仿宋" w:hAnsi="仿宋" w:eastAsia="仿宋" w:cs="仿宋"/>
                <w:kern w:val="0"/>
                <w:sz w:val="18"/>
                <w:szCs w:val="18"/>
              </w:rPr>
            </w:pPr>
          </w:p>
        </w:tc>
        <w:tc>
          <w:tcPr>
            <w:tcW w:w="970" w:type="dxa"/>
            <w:tcBorders>
              <w:top w:val="nil"/>
              <w:left w:val="nil"/>
              <w:bottom w:val="single" w:color="auto" w:sz="8" w:space="0"/>
              <w:right w:val="single" w:color="000000" w:sz="8" w:space="0"/>
            </w:tcBorders>
            <w:vAlign w:val="center"/>
          </w:tcPr>
          <w:p w14:paraId="4D975F03">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45" w:type="dxa"/>
            <w:tcBorders>
              <w:top w:val="nil"/>
              <w:left w:val="nil"/>
              <w:bottom w:val="single" w:color="auto" w:sz="8" w:space="0"/>
              <w:right w:val="single" w:color="000000" w:sz="8" w:space="0"/>
            </w:tcBorders>
            <w:vAlign w:val="center"/>
          </w:tcPr>
          <w:p w14:paraId="480B552A">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auto" w:sz="8" w:space="0"/>
              <w:right w:val="single" w:color="000000" w:sz="8" w:space="0"/>
            </w:tcBorders>
            <w:vAlign w:val="center"/>
          </w:tcPr>
          <w:p w14:paraId="123EAF5C">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auto" w:sz="8" w:space="0"/>
              <w:right w:val="single" w:color="000000" w:sz="8" w:space="0"/>
            </w:tcBorders>
            <w:vAlign w:val="center"/>
          </w:tcPr>
          <w:p w14:paraId="0DF340CE">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75" w:type="dxa"/>
            <w:tcBorders>
              <w:top w:val="nil"/>
              <w:left w:val="nil"/>
              <w:bottom w:val="single" w:color="auto" w:sz="8" w:space="0"/>
              <w:right w:val="single" w:color="000000" w:sz="8" w:space="0"/>
            </w:tcBorders>
            <w:vAlign w:val="center"/>
          </w:tcPr>
          <w:p w14:paraId="38884918">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1020" w:type="dxa"/>
            <w:tcBorders>
              <w:top w:val="nil"/>
              <w:left w:val="nil"/>
              <w:bottom w:val="single" w:color="auto" w:sz="8" w:space="0"/>
              <w:right w:val="single" w:color="000000" w:sz="8" w:space="0"/>
            </w:tcBorders>
            <w:vAlign w:val="center"/>
          </w:tcPr>
          <w:p w14:paraId="6B5CB6D4">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960" w:type="dxa"/>
            <w:tcBorders>
              <w:top w:val="nil"/>
              <w:left w:val="nil"/>
              <w:bottom w:val="single" w:color="auto" w:sz="8" w:space="0"/>
              <w:right w:val="single" w:color="000000" w:sz="8" w:space="0"/>
            </w:tcBorders>
            <w:vAlign w:val="center"/>
          </w:tcPr>
          <w:p w14:paraId="3644CE4D">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2955" w:type="dxa"/>
            <w:gridSpan w:val="3"/>
            <w:tcBorders>
              <w:top w:val="single" w:color="000000" w:sz="8" w:space="0"/>
              <w:left w:val="nil"/>
              <w:bottom w:val="single" w:color="auto" w:sz="8" w:space="0"/>
              <w:right w:val="single" w:color="000000" w:sz="8" w:space="0"/>
            </w:tcBorders>
            <w:vAlign w:val="center"/>
          </w:tcPr>
          <w:p w14:paraId="6C4ED31F">
            <w:pPr>
              <w:widowControl/>
              <w:jc w:val="center"/>
              <w:rPr>
                <w:rFonts w:ascii="仿宋" w:hAnsi="仿宋" w:eastAsia="仿宋" w:cs="仿宋"/>
                <w:kern w:val="0"/>
                <w:sz w:val="18"/>
                <w:szCs w:val="18"/>
              </w:rPr>
            </w:pPr>
            <w:r>
              <w:rPr>
                <w:rFonts w:hint="eastAsia" w:ascii="仿宋" w:hAnsi="仿宋" w:eastAsia="仿宋" w:cs="仿宋"/>
                <w:kern w:val="0"/>
                <w:sz w:val="18"/>
                <w:szCs w:val="18"/>
              </w:rPr>
              <w:t>2级</w:t>
            </w:r>
          </w:p>
        </w:tc>
        <w:tc>
          <w:tcPr>
            <w:tcW w:w="1005" w:type="dxa"/>
            <w:tcBorders>
              <w:top w:val="nil"/>
              <w:left w:val="nil"/>
              <w:bottom w:val="single" w:color="auto" w:sz="8" w:space="0"/>
              <w:right w:val="single" w:color="000000" w:sz="8" w:space="0"/>
            </w:tcBorders>
            <w:vAlign w:val="center"/>
          </w:tcPr>
          <w:p w14:paraId="2D25FFDB">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c>
          <w:tcPr>
            <w:tcW w:w="1950" w:type="dxa"/>
            <w:gridSpan w:val="2"/>
            <w:tcBorders>
              <w:top w:val="single" w:color="000000" w:sz="8" w:space="0"/>
              <w:left w:val="nil"/>
              <w:bottom w:val="single" w:color="auto" w:sz="8" w:space="0"/>
              <w:right w:val="single" w:color="000000" w:sz="8" w:space="0"/>
            </w:tcBorders>
            <w:vAlign w:val="center"/>
          </w:tcPr>
          <w:p w14:paraId="543CA6D3">
            <w:pPr>
              <w:widowControl/>
              <w:jc w:val="center"/>
              <w:rPr>
                <w:rFonts w:ascii="仿宋" w:hAnsi="仿宋" w:eastAsia="仿宋" w:cs="仿宋"/>
                <w:kern w:val="0"/>
                <w:sz w:val="18"/>
                <w:szCs w:val="18"/>
              </w:rPr>
            </w:pPr>
            <w:r>
              <w:rPr>
                <w:rFonts w:hint="eastAsia" w:ascii="仿宋" w:hAnsi="仿宋" w:eastAsia="仿宋" w:cs="仿宋"/>
                <w:kern w:val="0"/>
                <w:sz w:val="18"/>
                <w:szCs w:val="18"/>
              </w:rPr>
              <w:t>4级</w:t>
            </w:r>
          </w:p>
        </w:tc>
        <w:tc>
          <w:tcPr>
            <w:tcW w:w="675" w:type="dxa"/>
            <w:tcBorders>
              <w:top w:val="nil"/>
              <w:left w:val="nil"/>
              <w:bottom w:val="single" w:color="auto" w:sz="8" w:space="0"/>
              <w:right w:val="single" w:color="auto" w:sz="8" w:space="0"/>
            </w:tcBorders>
            <w:vAlign w:val="center"/>
          </w:tcPr>
          <w:p w14:paraId="64DF686D">
            <w:pPr>
              <w:widowControl/>
              <w:jc w:val="center"/>
              <w:rPr>
                <w:rFonts w:ascii="仿宋" w:hAnsi="仿宋" w:eastAsia="仿宋" w:cs="仿宋"/>
                <w:kern w:val="0"/>
                <w:sz w:val="18"/>
                <w:szCs w:val="18"/>
              </w:rPr>
            </w:pPr>
            <w:r>
              <w:rPr>
                <w:rFonts w:hint="eastAsia" w:ascii="仿宋" w:hAnsi="仿宋" w:eastAsia="仿宋" w:cs="仿宋"/>
                <w:kern w:val="0"/>
                <w:sz w:val="18"/>
                <w:szCs w:val="18"/>
              </w:rPr>
              <w:t>　</w:t>
            </w:r>
          </w:p>
        </w:tc>
      </w:tr>
    </w:tbl>
    <w:p w14:paraId="50F272DB">
      <w:pPr>
        <w:widowControl/>
        <w:wordWrap w:val="0"/>
        <w:jc w:val="left"/>
        <w:rPr>
          <w:rFonts w:ascii="仿宋_GB2312" w:hAnsi="宋体" w:eastAsia="仿宋_GB2312" w:cs="宋体"/>
          <w:bCs/>
          <w:kern w:val="0"/>
          <w:sz w:val="28"/>
          <w:szCs w:val="28"/>
        </w:rPr>
      </w:pPr>
      <w:r>
        <w:rPr>
          <w:rFonts w:hint="eastAsia" w:ascii="黑体" w:hAnsi="黑体" w:eastAsia="黑体" w:cs="黑体"/>
          <w:bCs/>
          <w:kern w:val="0"/>
          <w:sz w:val="32"/>
          <w:szCs w:val="32"/>
        </w:rPr>
        <w:t>附件1</w:t>
      </w:r>
      <w:r>
        <w:rPr>
          <w:rFonts w:hint="eastAsia" w:ascii="仿宋_GB2312" w:hAnsi="宋体" w:eastAsia="仿宋_GB2312" w:cs="宋体"/>
          <w:bCs/>
          <w:kern w:val="0"/>
          <w:sz w:val="28"/>
          <w:szCs w:val="28"/>
        </w:rPr>
        <w:t xml:space="preserve">               </w:t>
      </w:r>
    </w:p>
    <w:p w14:paraId="4DB1C566">
      <w:pPr>
        <w:widowControl/>
        <w:wordWrap w:val="0"/>
        <w:jc w:val="center"/>
        <w:rPr>
          <w:rFonts w:ascii="仿宋_GB2312" w:hAnsi="宋体" w:eastAsia="仿宋_GB2312" w:cs="宋体"/>
          <w:bCs/>
          <w:kern w:val="0"/>
          <w:sz w:val="28"/>
          <w:szCs w:val="28"/>
        </w:rPr>
      </w:pPr>
      <w:r>
        <w:rPr>
          <w:rFonts w:hint="eastAsia" w:ascii="宋体" w:hAnsi="宋体" w:cs="宋体"/>
          <w:b/>
          <w:bCs/>
          <w:kern w:val="0"/>
          <w:sz w:val="44"/>
          <w:szCs w:val="44"/>
        </w:rPr>
        <w:t>常州工业职</w:t>
      </w:r>
      <w:r>
        <w:rPr>
          <w:rFonts w:hint="eastAsia" w:ascii="宋体" w:hAnsi="宋体" w:cs="宋体"/>
          <w:b/>
          <w:bCs/>
          <w:color w:val="auto"/>
          <w:kern w:val="0"/>
          <w:sz w:val="44"/>
          <w:szCs w:val="44"/>
        </w:rPr>
        <w:t>业技术学院岗位奖励性绩效系</w:t>
      </w:r>
      <w:r>
        <w:rPr>
          <w:rFonts w:hint="eastAsia" w:ascii="宋体" w:hAnsi="宋体" w:cs="宋体"/>
          <w:b/>
          <w:bCs/>
          <w:kern w:val="0"/>
          <w:sz w:val="44"/>
          <w:szCs w:val="44"/>
        </w:rPr>
        <w:t>数对照表</w:t>
      </w:r>
    </w:p>
    <w:p w14:paraId="5EBB2418">
      <w:pPr>
        <w:spacing w:line="560" w:lineRule="exact"/>
        <w:ind w:firstLine="640" w:firstLineChars="200"/>
        <w:rPr>
          <w:rFonts w:ascii="仿宋" w:hAnsi="仿宋" w:eastAsia="仿宋" w:cs="仿宋"/>
          <w:sz w:val="32"/>
          <w:szCs w:val="32"/>
        </w:rPr>
      </w:pPr>
    </w:p>
    <w:p w14:paraId="2C754CE8">
      <w:pPr>
        <w:spacing w:line="480" w:lineRule="exact"/>
        <w:ind w:firstLine="643" w:firstLineChars="200"/>
        <w:rPr>
          <w:rFonts w:ascii="仿宋" w:hAnsi="仿宋" w:eastAsia="仿宋" w:cs="仿宋"/>
          <w:color w:val="auto"/>
          <w:sz w:val="32"/>
          <w:szCs w:val="32"/>
        </w:rPr>
      </w:pPr>
      <w:r>
        <w:rPr>
          <w:rFonts w:hint="eastAsia" w:ascii="仿宋" w:hAnsi="仿宋" w:eastAsia="仿宋" w:cs="仿宋"/>
          <w:b/>
          <w:sz w:val="32"/>
          <w:szCs w:val="32"/>
        </w:rPr>
        <w:t>备注：</w:t>
      </w:r>
      <w:r>
        <w:rPr>
          <w:rFonts w:hint="eastAsia" w:ascii="仿宋" w:hAnsi="仿宋" w:eastAsia="仿宋" w:cs="仿宋"/>
          <w:sz w:val="32"/>
          <w:szCs w:val="32"/>
        </w:rPr>
        <w:t>根</w:t>
      </w:r>
      <w:r>
        <w:rPr>
          <w:rFonts w:hint="eastAsia" w:ascii="仿宋" w:hAnsi="仿宋" w:eastAsia="仿宋" w:cs="仿宋"/>
          <w:color w:val="auto"/>
          <w:sz w:val="32"/>
          <w:szCs w:val="32"/>
        </w:rPr>
        <w:t>据苏人社发〔2012〕142文件规定，单位主要领导岗位奖励性绩效系数水平原则上控制在本单位工作人员岗位奖励性绩效系数平均水平2.5倍以内。</w:t>
      </w:r>
    </w:p>
    <w:p w14:paraId="16359403">
      <w:pPr>
        <w:spacing w:line="560" w:lineRule="exact"/>
        <w:ind w:firstLine="640" w:firstLineChars="200"/>
        <w:rPr>
          <w:rFonts w:hint="eastAsia" w:ascii="仿宋" w:hAnsi="仿宋" w:eastAsia="仿宋" w:cs="仿宋"/>
          <w:color w:val="auto"/>
          <w:sz w:val="32"/>
          <w:szCs w:val="32"/>
          <w:lang w:eastAsia="zh-CN"/>
        </w:rPr>
        <w:sectPr>
          <w:pgSz w:w="16838" w:h="11906" w:orient="landscape"/>
          <w:pgMar w:top="1134" w:right="1440" w:bottom="1800" w:left="1440" w:header="851" w:footer="992" w:gutter="0"/>
          <w:cols w:space="425" w:num="1"/>
          <w:docGrid w:type="lines" w:linePitch="312" w:charSpace="0"/>
        </w:sectPr>
      </w:pPr>
      <w:r>
        <w:rPr>
          <w:rFonts w:hint="eastAsia" w:ascii="仿宋" w:hAnsi="仿宋" w:eastAsia="仿宋" w:cs="仿宋"/>
          <w:color w:val="auto"/>
          <w:sz w:val="32"/>
          <w:szCs w:val="32"/>
        </w:rPr>
        <w:t>我校副职领导干部按正职的0.9倍系数执行，退二线的校领导岗位奖励性绩效系数</w:t>
      </w:r>
      <w:r>
        <w:rPr>
          <w:rFonts w:hint="eastAsia" w:ascii="仿宋" w:hAnsi="仿宋" w:eastAsia="仿宋" w:cs="仿宋"/>
          <w:color w:val="auto"/>
          <w:sz w:val="32"/>
          <w:szCs w:val="32"/>
          <w:lang w:eastAsia="zh-CN"/>
        </w:rPr>
        <w:t>按照上级</w:t>
      </w:r>
      <w:r>
        <w:rPr>
          <w:rFonts w:hint="eastAsia" w:ascii="仿宋" w:hAnsi="仿宋" w:eastAsia="仿宋" w:cs="仿宋"/>
          <w:color w:val="auto"/>
          <w:sz w:val="32"/>
          <w:szCs w:val="32"/>
          <w:lang w:val="en-US" w:eastAsia="zh-CN"/>
        </w:rPr>
        <w:t>相关规定执行</w:t>
      </w:r>
      <w:r>
        <w:rPr>
          <w:rFonts w:hint="eastAsia" w:ascii="仿宋" w:hAnsi="仿宋" w:eastAsia="仿宋" w:cs="仿宋"/>
          <w:color w:val="auto"/>
          <w:sz w:val="32"/>
          <w:szCs w:val="32"/>
        </w:rPr>
        <w:t>（以当年1月1日在编人员</w:t>
      </w:r>
      <w:r>
        <w:rPr>
          <w:rFonts w:hint="eastAsia" w:ascii="仿宋" w:hAnsi="仿宋" w:eastAsia="仿宋" w:cs="仿宋"/>
          <w:color w:val="auto"/>
          <w:sz w:val="32"/>
          <w:szCs w:val="32"/>
          <w:lang w:val="en-US" w:eastAsia="zh-CN"/>
        </w:rPr>
        <w:t>岗位</w:t>
      </w:r>
      <w:r>
        <w:rPr>
          <w:rFonts w:hint="eastAsia" w:ascii="仿宋" w:hAnsi="仿宋" w:eastAsia="仿宋" w:cs="仿宋"/>
          <w:color w:val="auto"/>
          <w:sz w:val="32"/>
          <w:szCs w:val="32"/>
        </w:rPr>
        <w:t>奖励性绩效</w:t>
      </w:r>
      <w:r>
        <w:rPr>
          <w:rFonts w:hint="eastAsia" w:ascii="仿宋" w:hAnsi="仿宋" w:eastAsia="仿宋" w:cs="仿宋"/>
          <w:color w:val="auto"/>
          <w:sz w:val="32"/>
          <w:szCs w:val="32"/>
          <w:lang w:val="en-US" w:eastAsia="zh-CN"/>
        </w:rPr>
        <w:t>工资</w:t>
      </w:r>
      <w:r>
        <w:rPr>
          <w:rFonts w:hint="eastAsia" w:ascii="仿宋" w:hAnsi="仿宋" w:eastAsia="仿宋" w:cs="仿宋"/>
          <w:color w:val="auto"/>
          <w:sz w:val="32"/>
          <w:szCs w:val="32"/>
        </w:rPr>
        <w:t>平均水平为基准）</w:t>
      </w:r>
      <w:r>
        <w:rPr>
          <w:rFonts w:hint="eastAsia" w:ascii="仿宋" w:hAnsi="仿宋" w:eastAsia="仿宋" w:cs="仿宋"/>
          <w:color w:val="auto"/>
          <w:sz w:val="32"/>
          <w:szCs w:val="32"/>
          <w:lang w:eastAsia="zh-CN"/>
        </w:rPr>
        <w:t>。</w:t>
      </w:r>
    </w:p>
    <w:p w14:paraId="7DD6107F">
      <w:pPr>
        <w:widowControl/>
        <w:wordWrap w:val="0"/>
        <w:rPr>
          <w:rFonts w:ascii="黑体" w:hAnsi="黑体" w:eastAsia="黑体" w:cs="黑体"/>
          <w:bCs/>
          <w:kern w:val="0"/>
          <w:sz w:val="32"/>
          <w:szCs w:val="32"/>
        </w:rPr>
      </w:pPr>
      <w:r>
        <w:rPr>
          <w:rFonts w:hint="eastAsia" w:ascii="黑体" w:hAnsi="黑体" w:eastAsia="黑体" w:cs="黑体"/>
          <w:bCs/>
          <w:kern w:val="0"/>
          <w:sz w:val="32"/>
          <w:szCs w:val="32"/>
        </w:rPr>
        <w:t>附件2</w:t>
      </w:r>
    </w:p>
    <w:p w14:paraId="452A341C">
      <w:pPr>
        <w:spacing w:line="560" w:lineRule="exact"/>
        <w:jc w:val="center"/>
        <w:rPr>
          <w:rFonts w:ascii="仿宋" w:hAnsi="仿宋" w:eastAsia="仿宋" w:cs="仿宋"/>
          <w:sz w:val="32"/>
          <w:szCs w:val="32"/>
        </w:rPr>
      </w:pPr>
    </w:p>
    <w:p w14:paraId="0C77BBFE">
      <w:pPr>
        <w:spacing w:line="560" w:lineRule="exact"/>
        <w:jc w:val="center"/>
        <w:rPr>
          <w:rFonts w:ascii="宋体" w:hAnsi="宋体" w:cs="宋体"/>
          <w:b/>
          <w:bCs/>
          <w:sz w:val="44"/>
          <w:szCs w:val="44"/>
        </w:rPr>
      </w:pPr>
      <w:r>
        <w:rPr>
          <w:rFonts w:hint="eastAsia" w:ascii="宋体" w:hAnsi="宋体" w:cs="宋体"/>
          <w:b/>
          <w:bCs/>
          <w:sz w:val="44"/>
          <w:szCs w:val="44"/>
        </w:rPr>
        <w:t>常州工业职业技术学院</w:t>
      </w:r>
    </w:p>
    <w:p w14:paraId="30F2D197">
      <w:pPr>
        <w:spacing w:line="560" w:lineRule="exact"/>
        <w:jc w:val="center"/>
        <w:rPr>
          <w:rFonts w:ascii="宋体" w:hAnsi="宋体" w:cs="宋体"/>
          <w:b/>
          <w:bCs/>
          <w:sz w:val="44"/>
          <w:szCs w:val="44"/>
        </w:rPr>
      </w:pPr>
      <w:r>
        <w:rPr>
          <w:rFonts w:hint="eastAsia" w:ascii="宋体" w:hAnsi="宋体" w:cs="宋体"/>
          <w:b/>
          <w:bCs/>
          <w:sz w:val="44"/>
          <w:szCs w:val="44"/>
        </w:rPr>
        <w:t>教师奖励性绩效</w:t>
      </w:r>
      <w:r>
        <w:rPr>
          <w:rFonts w:hint="eastAsia" w:ascii="宋体" w:hAnsi="宋体" w:cs="宋体"/>
          <w:b/>
          <w:bCs/>
          <w:sz w:val="44"/>
          <w:szCs w:val="44"/>
          <w:lang w:val="en-US" w:eastAsia="zh-CN"/>
        </w:rPr>
        <w:t>工资</w:t>
      </w:r>
      <w:r>
        <w:rPr>
          <w:rFonts w:hint="eastAsia" w:ascii="宋体" w:hAnsi="宋体" w:cs="宋体"/>
          <w:b/>
          <w:bCs/>
          <w:sz w:val="44"/>
          <w:szCs w:val="44"/>
        </w:rPr>
        <w:t>实施办法</w:t>
      </w:r>
    </w:p>
    <w:p w14:paraId="6B6C5E0B">
      <w:pPr>
        <w:spacing w:line="560" w:lineRule="exact"/>
        <w:rPr>
          <w:rFonts w:ascii="仿宋" w:hAnsi="仿宋" w:eastAsia="仿宋" w:cs="仿宋"/>
          <w:sz w:val="32"/>
          <w:szCs w:val="32"/>
        </w:rPr>
      </w:pPr>
      <w:r>
        <w:rPr>
          <w:rFonts w:hint="eastAsia" w:ascii="仿宋" w:hAnsi="仿宋" w:eastAsia="仿宋" w:cs="仿宋"/>
          <w:sz w:val="32"/>
          <w:szCs w:val="32"/>
        </w:rPr>
        <w:t>　　</w:t>
      </w:r>
    </w:p>
    <w:p w14:paraId="317298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1.教师岗位从正高二级到员级十三级分为12档。</w:t>
      </w:r>
    </w:p>
    <w:p w14:paraId="4202BC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.对于在工作中作出重大贡献的教师，经学校党委会或院长办公会议讨论批准，给予5-20万元的特别贡献奖。</w:t>
      </w:r>
    </w:p>
    <w:p w14:paraId="73412BD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.教师的奖励性绩效每年年底教学业绩考核后分等发放，此类人员可以同时享受“年度考核为优秀者增发2000元”和“教学业绩考核排名在前30％的增发1000元”的待遇。</w:t>
      </w:r>
    </w:p>
    <w:p w14:paraId="640053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.专技系列中的纯教学人员教学业绩考核排名由二级学院（部）组织进行;借调人员、双肩挑人员以及各二级学院（部）正、副院长（主任）同时按照教师岗位和管理岗位进行考核。</w:t>
      </w:r>
    </w:p>
    <w:p w14:paraId="04CCF4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.教师教学业绩考核办法另行制定。</w:t>
      </w:r>
    </w:p>
    <w:p w14:paraId="5986DF9D">
      <w:pPr>
        <w:spacing w:line="560" w:lineRule="exact"/>
        <w:rPr>
          <w:rFonts w:ascii="仿宋" w:hAnsi="仿宋" w:eastAsia="仿宋"/>
          <w:color w:val="000000"/>
          <w:kern w:val="0"/>
          <w:sz w:val="30"/>
          <w:szCs w:val="30"/>
        </w:rPr>
      </w:pPr>
    </w:p>
    <w:p w14:paraId="1F9FEB1E">
      <w:pPr>
        <w:spacing w:line="560" w:lineRule="exact"/>
        <w:jc w:val="center"/>
        <w:rPr>
          <w:rFonts w:ascii="仿宋" w:hAnsi="仿宋" w:eastAsia="仿宋"/>
          <w:color w:val="000000"/>
          <w:kern w:val="0"/>
          <w:sz w:val="30"/>
          <w:szCs w:val="30"/>
        </w:rPr>
        <w:sectPr>
          <w:pgSz w:w="11906" w:h="16838"/>
          <w:pgMar w:top="1984" w:right="1531" w:bottom="2098" w:left="1531" w:header="851" w:footer="992" w:gutter="0"/>
          <w:cols w:space="0" w:num="1"/>
          <w:docGrid w:type="lines" w:linePitch="312" w:charSpace="0"/>
        </w:sectPr>
      </w:pPr>
    </w:p>
    <w:p w14:paraId="588C259C">
      <w:pPr>
        <w:widowControl/>
        <w:wordWrap w:val="0"/>
        <w:rPr>
          <w:rFonts w:ascii="黑体" w:hAnsi="黑体" w:eastAsia="黑体" w:cs="黑体"/>
          <w:bCs/>
          <w:sz w:val="32"/>
        </w:rPr>
      </w:pPr>
      <w:r>
        <w:rPr>
          <w:rFonts w:hint="eastAsia" w:ascii="黑体" w:hAnsi="黑体" w:eastAsia="黑体" w:cs="黑体"/>
          <w:bCs/>
          <w:sz w:val="32"/>
        </w:rPr>
        <w:t>附件3</w:t>
      </w:r>
    </w:p>
    <w:p w14:paraId="15B7BD55">
      <w:pPr>
        <w:widowControl/>
        <w:wordWrap w:val="0"/>
        <w:rPr>
          <w:rFonts w:ascii="仿宋_GB2312" w:eastAsia="仿宋_GB2312"/>
          <w:bCs/>
          <w:sz w:val="32"/>
        </w:rPr>
      </w:pPr>
    </w:p>
    <w:p w14:paraId="3A7229EA">
      <w:pPr>
        <w:widowControl/>
        <w:wordWrap w:val="0"/>
        <w:spacing w:line="560" w:lineRule="exact"/>
        <w:jc w:val="center"/>
        <w:rPr>
          <w:rFonts w:ascii="宋体" w:hAnsi="宋体" w:cs="宋体"/>
          <w:b/>
          <w:sz w:val="44"/>
          <w:szCs w:val="44"/>
        </w:rPr>
      </w:pPr>
      <w:r>
        <w:rPr>
          <w:rFonts w:hint="eastAsia" w:ascii="宋体" w:hAnsi="宋体" w:cs="宋体"/>
          <w:b/>
          <w:sz w:val="44"/>
          <w:szCs w:val="44"/>
        </w:rPr>
        <w:t>常州工业职业技术学院</w:t>
      </w:r>
    </w:p>
    <w:p w14:paraId="1989036B">
      <w:pPr>
        <w:widowControl/>
        <w:wordWrap w:val="0"/>
        <w:spacing w:line="560" w:lineRule="exact"/>
        <w:jc w:val="center"/>
        <w:rPr>
          <w:rFonts w:ascii="宋体" w:hAnsi="宋体" w:cs="宋体"/>
          <w:b/>
          <w:kern w:val="0"/>
          <w:sz w:val="44"/>
          <w:szCs w:val="44"/>
        </w:rPr>
      </w:pPr>
      <w:r>
        <w:rPr>
          <w:rFonts w:hint="eastAsia" w:ascii="宋体" w:hAnsi="宋体" w:cs="宋体"/>
          <w:b/>
          <w:kern w:val="0"/>
          <w:sz w:val="44"/>
          <w:szCs w:val="44"/>
        </w:rPr>
        <w:t>专职辅导员奖励性绩效</w:t>
      </w:r>
      <w:r>
        <w:rPr>
          <w:rFonts w:hint="eastAsia" w:ascii="宋体" w:hAnsi="宋体" w:cs="宋体"/>
          <w:b/>
          <w:bCs/>
          <w:sz w:val="44"/>
          <w:szCs w:val="44"/>
          <w:lang w:val="en-US" w:eastAsia="zh-CN"/>
        </w:rPr>
        <w:t>工资</w:t>
      </w:r>
      <w:r>
        <w:rPr>
          <w:rFonts w:hint="eastAsia" w:ascii="宋体" w:hAnsi="宋体" w:cs="宋体"/>
          <w:b/>
          <w:kern w:val="0"/>
          <w:sz w:val="44"/>
          <w:szCs w:val="44"/>
        </w:rPr>
        <w:t>实施办法</w:t>
      </w:r>
    </w:p>
    <w:p w14:paraId="56C91542">
      <w:pPr>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p w14:paraId="6D17F149">
      <w:pPr>
        <w:spacing w:line="560" w:lineRule="exact"/>
        <w:ind w:firstLine="640" w:firstLineChars="200"/>
        <w:jc w:val="left"/>
        <w:rPr>
          <w:rFonts w:ascii="仿宋" w:hAnsi="仿宋" w:eastAsia="仿宋" w:cs="仿宋"/>
          <w:color w:val="auto"/>
          <w:kern w:val="0"/>
          <w:sz w:val="32"/>
          <w:szCs w:val="32"/>
        </w:rPr>
      </w:pPr>
      <w:r>
        <w:rPr>
          <w:rFonts w:hint="eastAsia" w:ascii="仿宋" w:hAnsi="仿宋" w:eastAsia="仿宋" w:cs="仿宋"/>
          <w:kern w:val="0"/>
          <w:sz w:val="32"/>
          <w:szCs w:val="32"/>
        </w:rPr>
        <w:t>1.专职辅导员系列人员岗位从正高四级到</w:t>
      </w:r>
      <w:r>
        <w:rPr>
          <w:rFonts w:hint="eastAsia" w:ascii="仿宋" w:hAnsi="仿宋" w:eastAsia="仿宋" w:cs="仿宋"/>
          <w:kern w:val="0"/>
          <w:sz w:val="32"/>
          <w:szCs w:val="32"/>
          <w:lang w:val="en-US" w:eastAsia="zh-CN"/>
        </w:rPr>
        <w:t>初级十二级</w:t>
      </w:r>
      <w:r>
        <w:rPr>
          <w:rFonts w:hint="eastAsia" w:ascii="仿宋" w:hAnsi="仿宋" w:eastAsia="仿宋" w:cs="仿宋"/>
          <w:kern w:val="0"/>
          <w:sz w:val="32"/>
          <w:szCs w:val="32"/>
        </w:rPr>
        <w:t>级分</w:t>
      </w: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档。</w:t>
      </w:r>
    </w:p>
    <w:p w14:paraId="1932E863">
      <w:pPr>
        <w:spacing w:line="560" w:lineRule="exact"/>
        <w:ind w:firstLine="640" w:firstLineChars="200"/>
        <w:jc w:val="both"/>
        <w:rPr>
          <w:rFonts w:ascii="仿宋" w:hAnsi="仿宋" w:eastAsia="仿宋" w:cs="仿宋"/>
          <w:kern w:val="0"/>
          <w:sz w:val="32"/>
          <w:szCs w:val="32"/>
        </w:rPr>
      </w:pPr>
      <w:r>
        <w:rPr>
          <w:rFonts w:hint="eastAsia" w:ascii="仿宋" w:hAnsi="仿宋" w:eastAsia="仿宋" w:cs="仿宋"/>
          <w:color w:val="auto"/>
          <w:kern w:val="0"/>
          <w:sz w:val="32"/>
          <w:szCs w:val="32"/>
        </w:rPr>
        <w:t>2.专职辅</w:t>
      </w:r>
      <w:r>
        <w:rPr>
          <w:rFonts w:hint="eastAsia" w:ascii="仿宋" w:hAnsi="仿宋" w:eastAsia="仿宋" w:cs="仿宋"/>
          <w:kern w:val="0"/>
          <w:sz w:val="32"/>
          <w:szCs w:val="32"/>
        </w:rPr>
        <w:t>导员系列人员的奖励性绩效每年年底业绩考核后分等发放，此类人员可以同时享受“年度考核为优秀者增发2000元”和“教学业绩考核排名在前30％的增发1000元”的待遇。</w:t>
      </w:r>
    </w:p>
    <w:p w14:paraId="5819E5A6">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3.专职辅导员系列人员业绩考核由学工处组织实施，具体办法另行制定。</w:t>
      </w:r>
    </w:p>
    <w:p w14:paraId="4D319E92">
      <w:pPr>
        <w:spacing w:line="560" w:lineRule="exact"/>
        <w:rPr>
          <w:rFonts w:ascii="仿宋" w:hAnsi="仿宋" w:eastAsia="仿宋"/>
          <w:color w:val="000000"/>
          <w:kern w:val="0"/>
          <w:sz w:val="30"/>
          <w:szCs w:val="30"/>
        </w:rPr>
      </w:pPr>
    </w:p>
    <w:p w14:paraId="023DEA52">
      <w:pPr>
        <w:spacing w:line="560" w:lineRule="exact"/>
        <w:jc w:val="center"/>
        <w:rPr>
          <w:rFonts w:ascii="仿宋" w:hAnsi="仿宋" w:eastAsia="仿宋"/>
          <w:color w:val="000000"/>
          <w:kern w:val="0"/>
          <w:sz w:val="30"/>
          <w:szCs w:val="30"/>
        </w:rPr>
      </w:pPr>
    </w:p>
    <w:p w14:paraId="4D7EC026">
      <w:pPr>
        <w:spacing w:line="560" w:lineRule="exact"/>
        <w:jc w:val="center"/>
        <w:rPr>
          <w:rFonts w:ascii="仿宋" w:hAnsi="仿宋" w:eastAsia="仿宋"/>
          <w:color w:val="000000"/>
          <w:kern w:val="0"/>
          <w:sz w:val="30"/>
          <w:szCs w:val="30"/>
        </w:rPr>
      </w:pPr>
    </w:p>
    <w:p w14:paraId="339FC67B">
      <w:pPr>
        <w:spacing w:line="560" w:lineRule="exact"/>
        <w:jc w:val="center"/>
        <w:rPr>
          <w:rFonts w:ascii="仿宋" w:hAnsi="仿宋" w:eastAsia="仿宋"/>
          <w:color w:val="000000"/>
          <w:kern w:val="0"/>
          <w:sz w:val="30"/>
          <w:szCs w:val="30"/>
        </w:rPr>
      </w:pPr>
    </w:p>
    <w:p w14:paraId="78B04AC6">
      <w:pPr>
        <w:spacing w:line="560" w:lineRule="exact"/>
        <w:jc w:val="center"/>
        <w:rPr>
          <w:rFonts w:ascii="仿宋" w:hAnsi="仿宋" w:eastAsia="仿宋"/>
          <w:color w:val="000000"/>
          <w:kern w:val="0"/>
          <w:sz w:val="30"/>
          <w:szCs w:val="30"/>
        </w:rPr>
      </w:pPr>
    </w:p>
    <w:p w14:paraId="7AE829F2">
      <w:pPr>
        <w:spacing w:line="560" w:lineRule="exact"/>
        <w:jc w:val="center"/>
        <w:rPr>
          <w:rFonts w:ascii="仿宋" w:hAnsi="仿宋" w:eastAsia="仿宋"/>
          <w:color w:val="000000"/>
          <w:kern w:val="0"/>
          <w:sz w:val="30"/>
          <w:szCs w:val="30"/>
        </w:rPr>
      </w:pPr>
    </w:p>
    <w:p w14:paraId="232DEB38">
      <w:pPr>
        <w:spacing w:line="560" w:lineRule="exact"/>
        <w:jc w:val="center"/>
        <w:rPr>
          <w:rFonts w:ascii="仿宋" w:hAnsi="仿宋" w:eastAsia="仿宋"/>
          <w:color w:val="000000"/>
          <w:kern w:val="0"/>
          <w:sz w:val="30"/>
          <w:szCs w:val="30"/>
        </w:rPr>
      </w:pPr>
    </w:p>
    <w:p w14:paraId="4241C485">
      <w:pPr>
        <w:spacing w:line="560" w:lineRule="exact"/>
        <w:jc w:val="center"/>
        <w:rPr>
          <w:rFonts w:ascii="仿宋" w:hAnsi="仿宋" w:eastAsia="仿宋"/>
          <w:color w:val="000000"/>
          <w:kern w:val="0"/>
          <w:sz w:val="30"/>
          <w:szCs w:val="30"/>
        </w:rPr>
      </w:pPr>
    </w:p>
    <w:p w14:paraId="3A4306B9">
      <w:pPr>
        <w:spacing w:line="560" w:lineRule="exact"/>
        <w:jc w:val="center"/>
        <w:rPr>
          <w:rFonts w:hint="eastAsia" w:ascii="仿宋" w:hAnsi="仿宋" w:eastAsia="仿宋"/>
          <w:color w:val="000000"/>
          <w:kern w:val="0"/>
          <w:sz w:val="30"/>
          <w:szCs w:val="30"/>
          <w:lang w:eastAsia="zh-CN"/>
        </w:rPr>
      </w:pPr>
    </w:p>
    <w:p w14:paraId="48C8EA1F">
      <w:pPr>
        <w:spacing w:line="560" w:lineRule="exact"/>
        <w:jc w:val="center"/>
        <w:rPr>
          <w:rFonts w:hint="eastAsia" w:ascii="仿宋" w:hAnsi="仿宋" w:eastAsia="仿宋"/>
          <w:color w:val="000000"/>
          <w:kern w:val="0"/>
          <w:sz w:val="30"/>
          <w:szCs w:val="30"/>
          <w:lang w:eastAsia="zh-CN"/>
        </w:rPr>
      </w:pPr>
    </w:p>
    <w:p w14:paraId="7C420743">
      <w:pPr>
        <w:spacing w:line="560" w:lineRule="exact"/>
        <w:jc w:val="center"/>
        <w:rPr>
          <w:rFonts w:ascii="仿宋" w:hAnsi="仿宋" w:eastAsia="仿宋"/>
          <w:color w:val="000000"/>
          <w:kern w:val="0"/>
          <w:sz w:val="30"/>
          <w:szCs w:val="30"/>
        </w:rPr>
      </w:pPr>
    </w:p>
    <w:p w14:paraId="4D8647FD">
      <w:pPr>
        <w:rPr>
          <w:rFonts w:ascii="黑体" w:hAnsi="黑体" w:eastAsia="黑体" w:cs="黑体"/>
          <w:sz w:val="32"/>
          <w:szCs w:val="32"/>
        </w:rPr>
      </w:pPr>
      <w:r>
        <w:rPr>
          <w:rFonts w:hint="eastAsia" w:ascii="黑体" w:hAnsi="黑体" w:eastAsia="黑体" w:cs="黑体"/>
          <w:sz w:val="32"/>
          <w:szCs w:val="32"/>
        </w:rPr>
        <w:t>附件4</w:t>
      </w:r>
    </w:p>
    <w:p w14:paraId="7D34DFF1"/>
    <w:p w14:paraId="245F254F"/>
    <w:p w14:paraId="22EBA5FF">
      <w:pPr>
        <w:jc w:val="center"/>
        <w:rPr>
          <w:b/>
          <w:bCs/>
          <w:sz w:val="44"/>
          <w:szCs w:val="44"/>
        </w:rPr>
      </w:pPr>
      <w:r>
        <w:rPr>
          <w:rFonts w:hint="eastAsia"/>
          <w:b/>
          <w:bCs/>
          <w:sz w:val="44"/>
          <w:szCs w:val="44"/>
        </w:rPr>
        <w:t>常州工业职业技术学院</w:t>
      </w:r>
    </w:p>
    <w:p w14:paraId="0D51C549">
      <w:pPr>
        <w:jc w:val="center"/>
        <w:rPr>
          <w:b/>
          <w:bCs/>
          <w:sz w:val="44"/>
          <w:szCs w:val="44"/>
        </w:rPr>
      </w:pPr>
      <w:r>
        <w:rPr>
          <w:b/>
          <w:bCs/>
          <w:sz w:val="44"/>
          <w:szCs w:val="44"/>
        </w:rPr>
        <w:t>管理人员</w:t>
      </w:r>
      <w:r>
        <w:rPr>
          <w:rFonts w:hint="eastAsia"/>
          <w:b/>
          <w:bCs/>
          <w:sz w:val="44"/>
          <w:szCs w:val="44"/>
        </w:rPr>
        <w:t>奖励性绩效</w:t>
      </w:r>
      <w:r>
        <w:rPr>
          <w:rFonts w:hint="eastAsia" w:ascii="宋体" w:hAnsi="宋体" w:cs="宋体"/>
          <w:b/>
          <w:bCs/>
          <w:sz w:val="44"/>
          <w:szCs w:val="44"/>
          <w:lang w:val="en-US" w:eastAsia="zh-CN"/>
        </w:rPr>
        <w:t>工资</w:t>
      </w:r>
      <w:r>
        <w:rPr>
          <w:rFonts w:hint="eastAsia"/>
          <w:b/>
          <w:bCs/>
          <w:sz w:val="44"/>
          <w:szCs w:val="44"/>
        </w:rPr>
        <w:t>实施办法</w:t>
      </w:r>
    </w:p>
    <w:p w14:paraId="6E3A8CD0"/>
    <w:p w14:paraId="45A244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校管理人员必须贯彻执行党的路线、方针、政策，熟悉高等教育法规、政策，遵纪守法，维护学校的安全、荣誉、利益和知识产权，恪守职业道德，热爱本职工作，办事公正，作风正派，廉洁奉公，身体健康，能坚持正常工作，完成本职工作。</w:t>
      </w:r>
    </w:p>
    <w:p w14:paraId="495A5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管理人员奖励性绩效</w:t>
      </w:r>
      <w:r>
        <w:rPr>
          <w:rFonts w:hint="eastAsia" w:ascii="仿宋" w:hAnsi="仿宋" w:eastAsia="仿宋" w:cs="仿宋"/>
          <w:sz w:val="32"/>
          <w:szCs w:val="32"/>
          <w:lang w:val="en-US" w:eastAsia="zh-CN"/>
        </w:rPr>
        <w:t>工资</w:t>
      </w:r>
      <w:r>
        <w:rPr>
          <w:rFonts w:hint="eastAsia" w:ascii="仿宋" w:hAnsi="仿宋" w:eastAsia="仿宋" w:cs="仿宋"/>
          <w:sz w:val="32"/>
          <w:szCs w:val="32"/>
        </w:rPr>
        <w:t>实施办法如下:</w:t>
      </w:r>
    </w:p>
    <w:p w14:paraId="168F68C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一、一档、二档  学校的正、副职领导干部</w:t>
      </w:r>
    </w:p>
    <w:p w14:paraId="602F67E3">
      <w:pPr>
        <w:spacing w:line="56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根据苏人社发〔2012〕142文件规定，单位主要领导</w:t>
      </w:r>
      <w:r>
        <w:rPr>
          <w:rFonts w:hint="eastAsia" w:ascii="仿宋" w:hAnsi="仿宋" w:eastAsia="仿宋" w:cs="仿宋"/>
          <w:color w:val="auto"/>
          <w:sz w:val="32"/>
          <w:szCs w:val="32"/>
        </w:rPr>
        <w:t>岗位</w:t>
      </w:r>
      <w:r>
        <w:rPr>
          <w:rFonts w:hint="eastAsia" w:ascii="仿宋" w:hAnsi="仿宋" w:eastAsia="仿宋" w:cs="仿宋"/>
          <w:sz w:val="32"/>
          <w:szCs w:val="32"/>
        </w:rPr>
        <w:t>奖励性绩</w:t>
      </w:r>
      <w:r>
        <w:rPr>
          <w:rFonts w:hint="eastAsia" w:ascii="仿宋" w:hAnsi="仿宋" w:eastAsia="仿宋" w:cs="仿宋"/>
          <w:color w:val="auto"/>
          <w:sz w:val="32"/>
          <w:szCs w:val="32"/>
        </w:rPr>
        <w:t>效</w:t>
      </w:r>
      <w:r>
        <w:rPr>
          <w:rFonts w:hint="eastAsia" w:ascii="仿宋" w:hAnsi="仿宋" w:eastAsia="仿宋" w:cs="仿宋"/>
          <w:color w:val="auto"/>
          <w:sz w:val="32"/>
          <w:szCs w:val="32"/>
          <w:lang w:val="en-US" w:eastAsia="zh-CN"/>
        </w:rPr>
        <w:t>工资</w:t>
      </w:r>
      <w:r>
        <w:rPr>
          <w:rFonts w:hint="eastAsia" w:ascii="仿宋" w:hAnsi="仿宋" w:eastAsia="仿宋" w:cs="仿宋"/>
          <w:color w:val="auto"/>
          <w:sz w:val="32"/>
          <w:szCs w:val="32"/>
        </w:rPr>
        <w:t>水平原则上控制在本单位工作人员奖励性绩效</w:t>
      </w:r>
      <w:r>
        <w:rPr>
          <w:rFonts w:hint="eastAsia" w:ascii="仿宋" w:hAnsi="仿宋" w:eastAsia="仿宋" w:cs="仿宋"/>
          <w:color w:val="auto"/>
          <w:sz w:val="32"/>
          <w:szCs w:val="32"/>
          <w:lang w:val="en-US" w:eastAsia="zh-CN"/>
        </w:rPr>
        <w:t>工资</w:t>
      </w:r>
      <w:r>
        <w:rPr>
          <w:rFonts w:hint="eastAsia" w:ascii="仿宋" w:hAnsi="仿宋" w:eastAsia="仿宋" w:cs="仿宋"/>
          <w:color w:val="auto"/>
          <w:sz w:val="32"/>
          <w:szCs w:val="32"/>
        </w:rPr>
        <w:t>平均水平2.5倍以内。</w:t>
      </w:r>
    </w:p>
    <w:p w14:paraId="5E7057D7">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我校副职领导干部按正职的0.9倍系数执行，退二线的校领导按</w:t>
      </w:r>
      <w:r>
        <w:rPr>
          <w:rFonts w:hint="eastAsia" w:ascii="仿宋" w:hAnsi="仿宋" w:eastAsia="仿宋" w:cs="仿宋"/>
          <w:color w:val="auto"/>
          <w:sz w:val="32"/>
          <w:szCs w:val="32"/>
          <w:lang w:val="en-US" w:eastAsia="zh-CN"/>
        </w:rPr>
        <w:t>上级相关规定</w:t>
      </w:r>
      <w:r>
        <w:rPr>
          <w:rFonts w:hint="eastAsia" w:ascii="仿宋" w:hAnsi="仿宋" w:eastAsia="仿宋" w:cs="仿宋"/>
          <w:color w:val="auto"/>
          <w:sz w:val="32"/>
          <w:szCs w:val="32"/>
        </w:rPr>
        <w:t>执行。</w:t>
      </w:r>
    </w:p>
    <w:p w14:paraId="3290DF51">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 xml:space="preserve">二、四档　六级职员  </w:t>
      </w:r>
    </w:p>
    <w:p w14:paraId="309B76DB">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1.六级职员,部门正职任职, 本职级任职，且享受四档奖励性绩效满1年，年度考核合格及以上。</w:t>
      </w:r>
    </w:p>
    <w:p w14:paraId="5B8CCC1C">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2.六级职员,部门正职任职, 本职级任职，且享受五档奖励性绩效满3年，年度考核合格及以上。</w:t>
      </w:r>
    </w:p>
    <w:p w14:paraId="09AE57F1">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 xml:space="preserve">三、五档　六级职员/七级职员 </w:t>
      </w:r>
      <w:r>
        <w:rPr>
          <w:rFonts w:hint="eastAsia" w:ascii="仿宋" w:hAnsi="仿宋" w:eastAsia="仿宋" w:cs="仿宋"/>
          <w:color w:val="auto"/>
          <w:sz w:val="32"/>
          <w:szCs w:val="32"/>
        </w:rPr>
        <w:t xml:space="preserve"> </w:t>
      </w:r>
    </w:p>
    <w:p w14:paraId="79951873">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1.六级职员，部门正职，本职级任职，年度考核合格及以上；</w:t>
      </w:r>
    </w:p>
    <w:p w14:paraId="376F5DF9">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2.七级职员，部门副职主持工作，本职级任职，年度考核合格及以上； </w:t>
      </w:r>
    </w:p>
    <w:p w14:paraId="5707C34F">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3.七级职员，部门副职任职满9年，本职级任职，年度考核合格及以上。 </w:t>
      </w:r>
    </w:p>
    <w:p w14:paraId="4E6E5EE4">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 xml:space="preserve">四、六档　七级职员 </w:t>
      </w:r>
    </w:p>
    <w:p w14:paraId="6539A0F9">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1.七级职员，部门副职，本职级任职，年度考核合格及以上；</w:t>
      </w:r>
    </w:p>
    <w:p w14:paraId="403A5580">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2.七级职员任职满9年，本职级任职，年度考核合格及以上。 </w:t>
      </w:r>
    </w:p>
    <w:p w14:paraId="1BB217E5">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 xml:space="preserve">五、七档　七级职员/八级职员 </w:t>
      </w:r>
      <w:r>
        <w:rPr>
          <w:rFonts w:hint="eastAsia" w:ascii="仿宋" w:hAnsi="仿宋" w:eastAsia="仿宋" w:cs="仿宋"/>
          <w:color w:val="auto"/>
          <w:sz w:val="32"/>
          <w:szCs w:val="32"/>
        </w:rPr>
        <w:t xml:space="preserve"> </w:t>
      </w:r>
    </w:p>
    <w:p w14:paraId="67F9F8EB">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1.七级职员，本职级任职，年度考核合格及以上； </w:t>
      </w:r>
    </w:p>
    <w:p w14:paraId="45600564">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部门科长, 本职级任职，且享受七档奖励性绩效满1年, 年度考核合格及以上；</w:t>
      </w:r>
    </w:p>
    <w:p w14:paraId="7AE2260E">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3.部门科长,本职级任职，且八级职员任职满9年，年度考核合格及以上； </w:t>
      </w:r>
    </w:p>
    <w:p w14:paraId="5C147E28">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4.八级职员任职满12年，本职级任职，年度考核合格及以上。</w:t>
      </w:r>
    </w:p>
    <w:p w14:paraId="0B4026BE">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 xml:space="preserve">六、八档　八级职员 </w:t>
      </w:r>
      <w:r>
        <w:rPr>
          <w:rFonts w:hint="eastAsia" w:ascii="仿宋" w:hAnsi="仿宋" w:eastAsia="仿宋" w:cs="仿宋"/>
          <w:color w:val="auto"/>
          <w:sz w:val="32"/>
          <w:szCs w:val="32"/>
        </w:rPr>
        <w:t xml:space="preserve"> </w:t>
      </w:r>
    </w:p>
    <w:p w14:paraId="737BFF9C">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1.部门科长, 本职级任职，年度考核合格及以上。</w:t>
      </w:r>
    </w:p>
    <w:p w14:paraId="1ABD05E0">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2.八级职员任职满9年，本职级任职，年度考核合格及以上。</w:t>
      </w:r>
    </w:p>
    <w:p w14:paraId="77305AC9">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七、九档　八级职员</w:t>
      </w:r>
      <w:r>
        <w:rPr>
          <w:rFonts w:hint="eastAsia" w:ascii="仿宋" w:hAnsi="仿宋" w:eastAsia="仿宋" w:cs="仿宋"/>
          <w:color w:val="auto"/>
          <w:sz w:val="32"/>
          <w:szCs w:val="32"/>
        </w:rPr>
        <w:t xml:space="preserve">   </w:t>
      </w:r>
    </w:p>
    <w:p w14:paraId="504CD4D1">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八级职员，本职级任职，年度考核合格及以上。</w:t>
      </w:r>
    </w:p>
    <w:p w14:paraId="5B5E1862">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八、十档　九级职员</w:t>
      </w:r>
      <w:r>
        <w:rPr>
          <w:rFonts w:hint="eastAsia" w:ascii="仿宋" w:hAnsi="仿宋" w:eastAsia="仿宋" w:cs="仿宋"/>
          <w:color w:val="auto"/>
          <w:sz w:val="32"/>
          <w:szCs w:val="32"/>
        </w:rPr>
        <w:t xml:space="preserve">  </w:t>
      </w:r>
    </w:p>
    <w:p w14:paraId="1495CB19">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九级职员任职满6年，本职级任职，年度考核合格及以上。</w:t>
      </w:r>
    </w:p>
    <w:p w14:paraId="4043875E">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九、十一档　九级职员</w:t>
      </w:r>
      <w:r>
        <w:rPr>
          <w:rFonts w:hint="eastAsia" w:ascii="仿宋" w:hAnsi="仿宋" w:eastAsia="仿宋" w:cs="仿宋"/>
          <w:color w:val="auto"/>
          <w:sz w:val="32"/>
          <w:szCs w:val="32"/>
        </w:rPr>
        <w:t xml:space="preserve">  </w:t>
      </w:r>
    </w:p>
    <w:p w14:paraId="297C24CC">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九级职员，本职级任职，年度考核合格及以上。</w:t>
      </w:r>
    </w:p>
    <w:p w14:paraId="47E19B1C">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十、十二档　十级职员</w:t>
      </w:r>
      <w:r>
        <w:rPr>
          <w:rFonts w:hint="eastAsia" w:ascii="仿宋" w:hAnsi="仿宋" w:eastAsia="仿宋" w:cs="仿宋"/>
          <w:color w:val="auto"/>
          <w:sz w:val="32"/>
          <w:szCs w:val="32"/>
        </w:rPr>
        <w:t xml:space="preserve">  </w:t>
      </w:r>
    </w:p>
    <w:p w14:paraId="1DC3843C">
      <w:pPr>
        <w:spacing w:line="560" w:lineRule="exact"/>
        <w:ind w:firstLine="640" w:firstLineChars="200"/>
        <w:rPr>
          <w:rFonts w:ascii="仿宋" w:hAnsi="仿宋" w:eastAsia="仿宋" w:cs="仿宋"/>
          <w:sz w:val="32"/>
          <w:szCs w:val="32"/>
        </w:rPr>
      </w:pPr>
      <w:r>
        <w:rPr>
          <w:rFonts w:hint="eastAsia" w:ascii="仿宋" w:hAnsi="仿宋" w:eastAsia="仿宋" w:cs="仿宋"/>
          <w:color w:val="auto"/>
          <w:sz w:val="32"/>
          <w:szCs w:val="32"/>
        </w:rPr>
        <w:t>十级职员任职满2年，本职级任职，年度考</w:t>
      </w:r>
      <w:r>
        <w:rPr>
          <w:rFonts w:hint="eastAsia" w:ascii="仿宋" w:hAnsi="仿宋" w:eastAsia="仿宋" w:cs="仿宋"/>
          <w:sz w:val="32"/>
          <w:szCs w:val="32"/>
        </w:rPr>
        <w:t>核合格及以上。</w:t>
      </w:r>
    </w:p>
    <w:p w14:paraId="231C4CE4">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十一、十三档　十级职员</w:t>
      </w:r>
      <w:r>
        <w:rPr>
          <w:rFonts w:hint="eastAsia" w:ascii="仿宋" w:hAnsi="仿宋" w:eastAsia="仿宋" w:cs="仿宋"/>
          <w:sz w:val="32"/>
          <w:szCs w:val="32"/>
        </w:rPr>
        <w:t xml:space="preserve">  </w:t>
      </w:r>
    </w:p>
    <w:p w14:paraId="44C5AB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大学本科毕业，本职级任职，年度考核合格及以上。</w:t>
      </w:r>
    </w:p>
    <w:p w14:paraId="264C2CBF">
      <w:pPr>
        <w:widowControl/>
        <w:wordWrap w:val="0"/>
        <w:spacing w:line="0" w:lineRule="atLeast"/>
        <w:ind w:right="-10" w:firstLine="426"/>
        <w:rPr>
          <w:rFonts w:ascii="宋体" w:hAnsi="宋体" w:cs="宋体"/>
          <w:b/>
          <w:kern w:val="0"/>
          <w:sz w:val="32"/>
          <w:szCs w:val="18"/>
        </w:rPr>
      </w:pPr>
    </w:p>
    <w:p w14:paraId="6E011DD8">
      <w:pPr>
        <w:widowControl/>
        <w:wordWrap w:val="0"/>
        <w:spacing w:line="0" w:lineRule="atLeast"/>
        <w:ind w:right="-10"/>
        <w:rPr>
          <w:rFonts w:ascii="黑体" w:hAnsi="黑体" w:eastAsia="黑体" w:cs="黑体"/>
          <w:bCs/>
          <w:kern w:val="0"/>
          <w:sz w:val="32"/>
          <w:szCs w:val="18"/>
        </w:rPr>
      </w:pPr>
    </w:p>
    <w:p w14:paraId="0ED0198D">
      <w:pPr>
        <w:widowControl/>
        <w:wordWrap w:val="0"/>
        <w:spacing w:line="0" w:lineRule="atLeast"/>
        <w:ind w:right="-10"/>
        <w:rPr>
          <w:rFonts w:ascii="黑体" w:hAnsi="黑体" w:eastAsia="黑体" w:cs="黑体"/>
          <w:bCs/>
          <w:kern w:val="0"/>
          <w:sz w:val="32"/>
          <w:szCs w:val="18"/>
        </w:rPr>
      </w:pPr>
    </w:p>
    <w:p w14:paraId="373A4275">
      <w:pPr>
        <w:widowControl/>
        <w:wordWrap w:val="0"/>
        <w:spacing w:line="0" w:lineRule="atLeast"/>
        <w:ind w:right="-10"/>
        <w:rPr>
          <w:rFonts w:ascii="黑体" w:hAnsi="黑体" w:eastAsia="黑体" w:cs="黑体"/>
          <w:bCs/>
          <w:kern w:val="0"/>
          <w:sz w:val="32"/>
          <w:szCs w:val="18"/>
        </w:rPr>
      </w:pPr>
    </w:p>
    <w:p w14:paraId="18FDB03E">
      <w:pPr>
        <w:widowControl/>
        <w:wordWrap w:val="0"/>
        <w:spacing w:line="0" w:lineRule="atLeast"/>
        <w:ind w:right="-10"/>
        <w:rPr>
          <w:rFonts w:ascii="黑体" w:hAnsi="黑体" w:eastAsia="黑体" w:cs="黑体"/>
          <w:bCs/>
          <w:kern w:val="0"/>
          <w:sz w:val="32"/>
          <w:szCs w:val="18"/>
        </w:rPr>
      </w:pPr>
    </w:p>
    <w:p w14:paraId="5151FA48">
      <w:pPr>
        <w:widowControl/>
        <w:wordWrap w:val="0"/>
        <w:spacing w:line="0" w:lineRule="atLeast"/>
        <w:ind w:right="-10"/>
        <w:rPr>
          <w:rFonts w:ascii="黑体" w:hAnsi="黑体" w:eastAsia="黑体" w:cs="黑体"/>
          <w:bCs/>
          <w:kern w:val="0"/>
          <w:sz w:val="32"/>
          <w:szCs w:val="18"/>
        </w:rPr>
      </w:pPr>
    </w:p>
    <w:p w14:paraId="13809D2F">
      <w:pPr>
        <w:widowControl/>
        <w:wordWrap w:val="0"/>
        <w:spacing w:line="0" w:lineRule="atLeast"/>
        <w:ind w:right="-10"/>
        <w:rPr>
          <w:rFonts w:ascii="黑体" w:hAnsi="黑体" w:eastAsia="黑体" w:cs="黑体"/>
          <w:bCs/>
          <w:kern w:val="0"/>
          <w:sz w:val="32"/>
          <w:szCs w:val="18"/>
        </w:rPr>
      </w:pPr>
    </w:p>
    <w:p w14:paraId="59308F68">
      <w:pPr>
        <w:widowControl/>
        <w:wordWrap w:val="0"/>
        <w:spacing w:line="0" w:lineRule="atLeast"/>
        <w:ind w:right="-10"/>
        <w:rPr>
          <w:rFonts w:ascii="黑体" w:hAnsi="黑体" w:eastAsia="黑体" w:cs="黑体"/>
          <w:bCs/>
          <w:kern w:val="0"/>
          <w:sz w:val="32"/>
          <w:szCs w:val="18"/>
        </w:rPr>
      </w:pPr>
    </w:p>
    <w:p w14:paraId="58603D0E">
      <w:pPr>
        <w:widowControl/>
        <w:wordWrap w:val="0"/>
        <w:spacing w:line="0" w:lineRule="atLeast"/>
        <w:ind w:right="-10"/>
        <w:rPr>
          <w:rFonts w:ascii="黑体" w:hAnsi="黑体" w:eastAsia="黑体" w:cs="黑体"/>
          <w:bCs/>
          <w:kern w:val="0"/>
          <w:sz w:val="32"/>
          <w:szCs w:val="18"/>
        </w:rPr>
      </w:pPr>
    </w:p>
    <w:p w14:paraId="0E69DB63">
      <w:pPr>
        <w:widowControl/>
        <w:wordWrap w:val="0"/>
        <w:spacing w:line="0" w:lineRule="atLeast"/>
        <w:ind w:right="-10"/>
        <w:rPr>
          <w:rFonts w:ascii="黑体" w:hAnsi="黑体" w:eastAsia="黑体" w:cs="黑体"/>
          <w:bCs/>
          <w:kern w:val="0"/>
          <w:sz w:val="32"/>
          <w:szCs w:val="18"/>
        </w:rPr>
      </w:pPr>
    </w:p>
    <w:p w14:paraId="2BCE883C">
      <w:pPr>
        <w:widowControl/>
        <w:wordWrap w:val="0"/>
        <w:spacing w:line="0" w:lineRule="atLeast"/>
        <w:ind w:right="-10"/>
        <w:rPr>
          <w:rFonts w:ascii="黑体" w:hAnsi="黑体" w:eastAsia="黑体" w:cs="黑体"/>
          <w:bCs/>
          <w:kern w:val="0"/>
          <w:sz w:val="32"/>
          <w:szCs w:val="18"/>
        </w:rPr>
      </w:pPr>
    </w:p>
    <w:p w14:paraId="31959326">
      <w:pPr>
        <w:widowControl/>
        <w:wordWrap w:val="0"/>
        <w:spacing w:line="0" w:lineRule="atLeast"/>
        <w:ind w:right="-10"/>
        <w:rPr>
          <w:rFonts w:ascii="黑体" w:hAnsi="黑体" w:eastAsia="黑体" w:cs="黑体"/>
          <w:bCs/>
          <w:kern w:val="0"/>
          <w:sz w:val="32"/>
          <w:szCs w:val="18"/>
        </w:rPr>
      </w:pPr>
    </w:p>
    <w:p w14:paraId="5ED60E68">
      <w:pPr>
        <w:widowControl/>
        <w:wordWrap w:val="0"/>
        <w:spacing w:line="0" w:lineRule="atLeast"/>
        <w:ind w:right="-10"/>
        <w:rPr>
          <w:rFonts w:ascii="黑体" w:hAnsi="黑体" w:eastAsia="黑体" w:cs="黑体"/>
          <w:bCs/>
          <w:kern w:val="0"/>
          <w:sz w:val="32"/>
          <w:szCs w:val="18"/>
        </w:rPr>
      </w:pPr>
    </w:p>
    <w:p w14:paraId="6938A41D">
      <w:pPr>
        <w:widowControl/>
        <w:wordWrap w:val="0"/>
        <w:spacing w:line="0" w:lineRule="atLeast"/>
        <w:ind w:right="-10"/>
        <w:rPr>
          <w:rFonts w:ascii="黑体" w:hAnsi="黑体" w:eastAsia="黑体" w:cs="黑体"/>
          <w:bCs/>
          <w:kern w:val="0"/>
          <w:sz w:val="32"/>
          <w:szCs w:val="18"/>
        </w:rPr>
      </w:pPr>
    </w:p>
    <w:p w14:paraId="468D9B93">
      <w:pPr>
        <w:widowControl/>
        <w:wordWrap w:val="0"/>
        <w:spacing w:line="0" w:lineRule="atLeast"/>
        <w:ind w:right="-10"/>
        <w:rPr>
          <w:rFonts w:ascii="黑体" w:hAnsi="黑体" w:eastAsia="黑体" w:cs="黑体"/>
          <w:bCs/>
          <w:kern w:val="0"/>
          <w:sz w:val="32"/>
          <w:szCs w:val="18"/>
        </w:rPr>
      </w:pPr>
    </w:p>
    <w:p w14:paraId="3EAA3A9D">
      <w:pPr>
        <w:widowControl/>
        <w:wordWrap w:val="0"/>
        <w:spacing w:line="0" w:lineRule="atLeast"/>
        <w:ind w:right="-10"/>
        <w:rPr>
          <w:rFonts w:ascii="黑体" w:hAnsi="黑体" w:eastAsia="黑体" w:cs="黑体"/>
          <w:bCs/>
          <w:kern w:val="0"/>
          <w:sz w:val="32"/>
          <w:szCs w:val="18"/>
        </w:rPr>
      </w:pPr>
    </w:p>
    <w:p w14:paraId="453C779B">
      <w:pPr>
        <w:widowControl/>
        <w:wordWrap w:val="0"/>
        <w:spacing w:line="0" w:lineRule="atLeast"/>
        <w:ind w:right="-10"/>
        <w:rPr>
          <w:rFonts w:ascii="黑体" w:hAnsi="黑体" w:eastAsia="黑体" w:cs="黑体"/>
          <w:bCs/>
          <w:kern w:val="0"/>
          <w:sz w:val="32"/>
          <w:szCs w:val="18"/>
        </w:rPr>
      </w:pPr>
    </w:p>
    <w:p w14:paraId="3228025F">
      <w:pPr>
        <w:widowControl/>
        <w:wordWrap w:val="0"/>
        <w:spacing w:line="0" w:lineRule="atLeast"/>
        <w:ind w:right="-10"/>
        <w:rPr>
          <w:rFonts w:ascii="黑体" w:hAnsi="黑体" w:eastAsia="黑体" w:cs="黑体"/>
          <w:bCs/>
          <w:kern w:val="0"/>
          <w:sz w:val="32"/>
          <w:szCs w:val="18"/>
        </w:rPr>
      </w:pPr>
    </w:p>
    <w:p w14:paraId="5C95611E">
      <w:pPr>
        <w:widowControl/>
        <w:wordWrap w:val="0"/>
        <w:spacing w:line="0" w:lineRule="atLeast"/>
        <w:ind w:right="-10"/>
        <w:rPr>
          <w:rFonts w:ascii="黑体" w:hAnsi="黑体" w:eastAsia="黑体" w:cs="黑体"/>
          <w:bCs/>
          <w:kern w:val="0"/>
          <w:sz w:val="32"/>
          <w:szCs w:val="18"/>
        </w:rPr>
      </w:pPr>
    </w:p>
    <w:p w14:paraId="731A2C29">
      <w:pPr>
        <w:widowControl/>
        <w:wordWrap w:val="0"/>
        <w:spacing w:line="0" w:lineRule="atLeast"/>
        <w:ind w:right="-10"/>
        <w:rPr>
          <w:rFonts w:ascii="黑体" w:hAnsi="黑体" w:eastAsia="黑体" w:cs="黑体"/>
          <w:bCs/>
          <w:kern w:val="0"/>
          <w:sz w:val="32"/>
          <w:szCs w:val="18"/>
        </w:rPr>
      </w:pPr>
    </w:p>
    <w:p w14:paraId="1DFA2D7C">
      <w:pPr>
        <w:widowControl/>
        <w:wordWrap w:val="0"/>
        <w:spacing w:line="0" w:lineRule="atLeast"/>
        <w:ind w:right="-10"/>
        <w:rPr>
          <w:rFonts w:ascii="黑体" w:hAnsi="黑体" w:eastAsia="黑体" w:cs="黑体"/>
          <w:bCs/>
          <w:kern w:val="0"/>
          <w:sz w:val="32"/>
          <w:szCs w:val="18"/>
        </w:rPr>
      </w:pPr>
      <w:r>
        <w:rPr>
          <w:rFonts w:hint="eastAsia" w:ascii="黑体" w:hAnsi="黑体" w:eastAsia="黑体" w:cs="黑体"/>
          <w:bCs/>
          <w:kern w:val="0"/>
          <w:sz w:val="32"/>
          <w:szCs w:val="18"/>
        </w:rPr>
        <w:t>附件5</w:t>
      </w:r>
    </w:p>
    <w:p w14:paraId="740FC143">
      <w:pPr>
        <w:widowControl/>
        <w:wordWrap w:val="0"/>
        <w:spacing w:line="0" w:lineRule="atLeast"/>
        <w:ind w:right="-10"/>
        <w:rPr>
          <w:rFonts w:ascii="宋体" w:hAnsi="宋体" w:cs="宋体"/>
          <w:b/>
          <w:kern w:val="0"/>
          <w:sz w:val="32"/>
          <w:szCs w:val="18"/>
        </w:rPr>
      </w:pPr>
    </w:p>
    <w:p w14:paraId="4E7B8C48">
      <w:pPr>
        <w:widowControl/>
        <w:wordWrap w:val="0"/>
        <w:spacing w:line="560" w:lineRule="exact"/>
        <w:ind w:right="-10"/>
        <w:jc w:val="center"/>
        <w:rPr>
          <w:rFonts w:ascii="宋体" w:hAnsi="宋体" w:cs="宋体"/>
          <w:b/>
          <w:kern w:val="0"/>
          <w:sz w:val="44"/>
          <w:szCs w:val="44"/>
        </w:rPr>
      </w:pPr>
      <w:r>
        <w:rPr>
          <w:rFonts w:hint="eastAsia" w:ascii="宋体" w:hAnsi="宋体" w:cs="宋体"/>
          <w:b/>
          <w:kern w:val="0"/>
          <w:sz w:val="44"/>
          <w:szCs w:val="44"/>
        </w:rPr>
        <w:t>常州工业职业技术学院</w:t>
      </w:r>
    </w:p>
    <w:p w14:paraId="15E5FB81">
      <w:pPr>
        <w:widowControl/>
        <w:wordWrap w:val="0"/>
        <w:spacing w:line="560" w:lineRule="exact"/>
        <w:jc w:val="center"/>
        <w:rPr>
          <w:rFonts w:ascii="宋体" w:hAnsi="宋体" w:cs="宋体"/>
          <w:b/>
          <w:kern w:val="0"/>
          <w:sz w:val="32"/>
          <w:szCs w:val="32"/>
        </w:rPr>
      </w:pPr>
      <w:r>
        <w:rPr>
          <w:rFonts w:hint="eastAsia" w:ascii="宋体" w:hAnsi="宋体" w:cs="宋体"/>
          <w:b/>
          <w:kern w:val="0"/>
          <w:sz w:val="44"/>
          <w:szCs w:val="44"/>
        </w:rPr>
        <w:t>其他</w:t>
      </w:r>
      <w:r>
        <w:rPr>
          <w:rFonts w:ascii="宋体" w:hAnsi="宋体" w:cs="宋体"/>
          <w:b/>
          <w:kern w:val="0"/>
          <w:sz w:val="44"/>
          <w:szCs w:val="44"/>
        </w:rPr>
        <w:t>专业技术岗位</w:t>
      </w:r>
      <w:r>
        <w:rPr>
          <w:rFonts w:hint="eastAsia" w:ascii="宋体" w:hAnsi="宋体" w:cs="宋体"/>
          <w:b/>
          <w:kern w:val="0"/>
          <w:sz w:val="44"/>
          <w:szCs w:val="44"/>
        </w:rPr>
        <w:t>奖励性绩效</w:t>
      </w:r>
      <w:r>
        <w:rPr>
          <w:rFonts w:hint="eastAsia" w:ascii="宋体" w:hAnsi="宋体" w:cs="宋体"/>
          <w:b/>
          <w:bCs/>
          <w:sz w:val="44"/>
          <w:szCs w:val="44"/>
          <w:lang w:val="en-US" w:eastAsia="zh-CN"/>
        </w:rPr>
        <w:t>工资</w:t>
      </w:r>
      <w:r>
        <w:rPr>
          <w:rFonts w:hint="eastAsia" w:ascii="宋体" w:hAnsi="宋体" w:cs="宋体"/>
          <w:b/>
          <w:kern w:val="0"/>
          <w:sz w:val="44"/>
          <w:szCs w:val="44"/>
        </w:rPr>
        <w:t>实施办法</w:t>
      </w:r>
    </w:p>
    <w:p w14:paraId="25B44844">
      <w:pPr>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　　</w:t>
      </w:r>
    </w:p>
    <w:p w14:paraId="042415BE">
      <w:pPr>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kern w:val="0"/>
          <w:sz w:val="32"/>
          <w:szCs w:val="32"/>
          <w:lang w:val="en-US" w:eastAsia="zh-CN"/>
        </w:rPr>
        <w:t>学校</w:t>
      </w:r>
      <w:r>
        <w:rPr>
          <w:rFonts w:hint="eastAsia" w:ascii="仿宋_GB2312" w:hAnsi="宋体" w:eastAsia="仿宋_GB2312" w:cs="宋体"/>
          <w:kern w:val="0"/>
          <w:sz w:val="32"/>
          <w:szCs w:val="32"/>
        </w:rPr>
        <w:t>其他</w:t>
      </w:r>
      <w:r>
        <w:rPr>
          <w:rFonts w:ascii="仿宋_GB2312" w:hAnsi="宋体" w:eastAsia="仿宋_GB2312" w:cs="宋体"/>
          <w:kern w:val="0"/>
          <w:sz w:val="32"/>
          <w:szCs w:val="32"/>
        </w:rPr>
        <w:t>专业技术</w:t>
      </w:r>
      <w:r>
        <w:rPr>
          <w:rFonts w:hint="eastAsia" w:ascii="仿宋_GB2312" w:hAnsi="宋体" w:eastAsia="仿宋_GB2312" w:cs="宋体"/>
          <w:kern w:val="0"/>
          <w:sz w:val="32"/>
          <w:szCs w:val="32"/>
        </w:rPr>
        <w:t>人员岗位从</w:t>
      </w:r>
      <w:r>
        <w:rPr>
          <w:rFonts w:hint="eastAsia" w:ascii="仿宋_GB2312" w:hAnsi="宋体" w:eastAsia="仿宋_GB2312" w:cs="宋体"/>
          <w:kern w:val="0"/>
          <w:sz w:val="32"/>
          <w:szCs w:val="32"/>
          <w:lang w:val="en-US" w:eastAsia="zh-CN"/>
        </w:rPr>
        <w:t>正高四</w:t>
      </w:r>
      <w:r>
        <w:rPr>
          <w:rFonts w:hint="eastAsia" w:ascii="仿宋_GB2312" w:hAnsi="宋体" w:eastAsia="仿宋_GB2312" w:cs="宋体"/>
          <w:kern w:val="0"/>
          <w:sz w:val="32"/>
          <w:szCs w:val="32"/>
        </w:rPr>
        <w:t>级到</w:t>
      </w:r>
      <w:r>
        <w:rPr>
          <w:rFonts w:hint="eastAsia" w:ascii="仿宋_GB2312" w:hAnsi="宋体" w:eastAsia="仿宋_GB2312" w:cs="宋体"/>
          <w:kern w:val="0"/>
          <w:sz w:val="32"/>
          <w:szCs w:val="32"/>
          <w:lang w:val="en-US" w:eastAsia="zh-CN"/>
        </w:rPr>
        <w:t>初级十二</w:t>
      </w:r>
      <w:r>
        <w:rPr>
          <w:rFonts w:hint="eastAsia" w:ascii="仿宋_GB2312" w:hAnsi="宋体" w:eastAsia="仿宋_GB2312" w:cs="宋体"/>
          <w:kern w:val="0"/>
          <w:sz w:val="32"/>
          <w:szCs w:val="32"/>
        </w:rPr>
        <w:t>级</w:t>
      </w:r>
      <w:r>
        <w:rPr>
          <w:rFonts w:hint="eastAsia" w:ascii="仿宋_GB2312" w:hAnsi="宋体" w:eastAsia="仿宋_GB2312" w:cs="宋体"/>
          <w:color w:val="auto"/>
          <w:kern w:val="0"/>
          <w:sz w:val="32"/>
          <w:szCs w:val="32"/>
        </w:rPr>
        <w:t>分为</w:t>
      </w:r>
      <w:r>
        <w:rPr>
          <w:rFonts w:hint="eastAsia" w:ascii="仿宋_GB2312" w:hAnsi="宋体" w:eastAsia="仿宋_GB2312" w:cs="宋体"/>
          <w:color w:val="auto"/>
          <w:kern w:val="0"/>
          <w:sz w:val="32"/>
          <w:szCs w:val="32"/>
          <w:lang w:val="en-US" w:eastAsia="zh-CN"/>
        </w:rPr>
        <w:t>9</w:t>
      </w:r>
      <w:r>
        <w:rPr>
          <w:rFonts w:hint="eastAsia" w:ascii="仿宋_GB2312" w:hAnsi="宋体" w:eastAsia="仿宋_GB2312" w:cs="宋体"/>
          <w:color w:val="auto"/>
          <w:kern w:val="0"/>
          <w:sz w:val="32"/>
          <w:szCs w:val="32"/>
        </w:rPr>
        <w:t>档。</w:t>
      </w:r>
    </w:p>
    <w:p w14:paraId="4FF5BF78">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auto"/>
          <w:kern w:val="0"/>
          <w:sz w:val="32"/>
          <w:szCs w:val="32"/>
        </w:rPr>
        <w:t>其他</w:t>
      </w:r>
      <w:r>
        <w:rPr>
          <w:rFonts w:ascii="仿宋_GB2312" w:hAnsi="宋体" w:eastAsia="仿宋_GB2312" w:cs="宋体"/>
          <w:color w:val="auto"/>
          <w:kern w:val="0"/>
          <w:sz w:val="32"/>
          <w:szCs w:val="32"/>
        </w:rPr>
        <w:t>专业技术</w:t>
      </w:r>
      <w:r>
        <w:rPr>
          <w:rFonts w:hint="eastAsia" w:ascii="仿宋_GB2312" w:hAnsi="宋体" w:eastAsia="仿宋_GB2312" w:cs="宋体"/>
          <w:kern w:val="0"/>
          <w:sz w:val="32"/>
          <w:szCs w:val="32"/>
        </w:rPr>
        <w:t>系列人员业绩考核办法另行制定。</w:t>
      </w:r>
    </w:p>
    <w:p w14:paraId="66423A2E">
      <w:pPr>
        <w:spacing w:line="560" w:lineRule="exact"/>
        <w:ind w:firstLine="640" w:firstLineChars="200"/>
        <w:jc w:val="left"/>
        <w:rPr>
          <w:rFonts w:hint="default" w:ascii="仿宋_GB2312" w:hAnsi="宋体" w:eastAsia="仿宋_GB2312" w:cs="宋体"/>
          <w:kern w:val="0"/>
          <w:sz w:val="32"/>
          <w:szCs w:val="32"/>
          <w:lang w:val="en-US" w:eastAsia="zh-CN"/>
        </w:rPr>
      </w:pPr>
    </w:p>
    <w:p w14:paraId="0AA6BE87">
      <w:pPr>
        <w:spacing w:line="560" w:lineRule="exact"/>
        <w:ind w:firstLine="640" w:firstLineChars="200"/>
        <w:jc w:val="left"/>
        <w:rPr>
          <w:rFonts w:ascii="仿宋_GB2312" w:hAnsi="宋体" w:eastAsia="仿宋_GB2312" w:cs="宋体"/>
          <w:kern w:val="0"/>
          <w:sz w:val="32"/>
          <w:szCs w:val="32"/>
        </w:rPr>
      </w:pPr>
    </w:p>
    <w:p w14:paraId="3727D97C">
      <w:pPr>
        <w:spacing w:line="560" w:lineRule="exact"/>
        <w:ind w:firstLine="640" w:firstLineChars="200"/>
        <w:jc w:val="left"/>
        <w:rPr>
          <w:rFonts w:ascii="仿宋_GB2312" w:hAnsi="宋体" w:eastAsia="仿宋_GB2312" w:cs="宋体"/>
          <w:kern w:val="0"/>
          <w:sz w:val="32"/>
          <w:szCs w:val="32"/>
        </w:rPr>
      </w:pPr>
    </w:p>
    <w:p w14:paraId="70D286D4">
      <w:pPr>
        <w:spacing w:line="560" w:lineRule="exact"/>
        <w:ind w:firstLine="640" w:firstLineChars="200"/>
        <w:jc w:val="left"/>
        <w:rPr>
          <w:rFonts w:ascii="仿宋_GB2312" w:hAnsi="宋体" w:eastAsia="仿宋_GB2312" w:cs="宋体"/>
          <w:kern w:val="0"/>
          <w:sz w:val="32"/>
          <w:szCs w:val="32"/>
        </w:rPr>
      </w:pPr>
    </w:p>
    <w:p w14:paraId="137F217B">
      <w:pPr>
        <w:spacing w:line="560" w:lineRule="exact"/>
        <w:ind w:firstLine="640" w:firstLineChars="200"/>
        <w:jc w:val="left"/>
        <w:rPr>
          <w:rFonts w:ascii="仿宋_GB2312" w:hAnsi="宋体" w:eastAsia="仿宋_GB2312" w:cs="宋体"/>
          <w:kern w:val="0"/>
          <w:sz w:val="32"/>
          <w:szCs w:val="32"/>
        </w:rPr>
      </w:pPr>
    </w:p>
    <w:p w14:paraId="631681CC">
      <w:pPr>
        <w:spacing w:line="560" w:lineRule="exact"/>
        <w:ind w:firstLine="640" w:firstLineChars="200"/>
        <w:jc w:val="left"/>
        <w:rPr>
          <w:rFonts w:ascii="仿宋_GB2312" w:hAnsi="宋体" w:eastAsia="仿宋_GB2312" w:cs="宋体"/>
          <w:kern w:val="0"/>
          <w:sz w:val="32"/>
          <w:szCs w:val="32"/>
        </w:rPr>
      </w:pPr>
    </w:p>
    <w:p w14:paraId="57607C49">
      <w:pPr>
        <w:spacing w:line="560" w:lineRule="exact"/>
        <w:ind w:firstLine="640" w:firstLineChars="200"/>
        <w:jc w:val="left"/>
        <w:rPr>
          <w:rFonts w:ascii="仿宋_GB2312" w:hAnsi="宋体" w:eastAsia="仿宋_GB2312" w:cs="宋体"/>
          <w:kern w:val="0"/>
          <w:sz w:val="32"/>
          <w:szCs w:val="32"/>
        </w:rPr>
      </w:pPr>
    </w:p>
    <w:p w14:paraId="23F54687">
      <w:pPr>
        <w:spacing w:line="560" w:lineRule="exact"/>
        <w:ind w:firstLine="640" w:firstLineChars="200"/>
        <w:jc w:val="left"/>
        <w:rPr>
          <w:rFonts w:ascii="仿宋_GB2312" w:hAnsi="宋体" w:eastAsia="仿宋_GB2312" w:cs="宋体"/>
          <w:kern w:val="0"/>
          <w:sz w:val="32"/>
          <w:szCs w:val="32"/>
        </w:rPr>
      </w:pPr>
    </w:p>
    <w:p w14:paraId="64D92AF2">
      <w:pPr>
        <w:spacing w:line="560" w:lineRule="exact"/>
        <w:ind w:firstLine="640" w:firstLineChars="200"/>
        <w:jc w:val="left"/>
        <w:rPr>
          <w:rFonts w:ascii="仿宋_GB2312" w:hAnsi="宋体" w:eastAsia="仿宋_GB2312" w:cs="宋体"/>
          <w:kern w:val="0"/>
          <w:sz w:val="32"/>
          <w:szCs w:val="32"/>
        </w:rPr>
      </w:pPr>
    </w:p>
    <w:p w14:paraId="78184506">
      <w:pPr>
        <w:spacing w:line="560" w:lineRule="exact"/>
        <w:ind w:firstLine="640" w:firstLineChars="200"/>
        <w:jc w:val="left"/>
        <w:rPr>
          <w:rFonts w:ascii="仿宋_GB2312" w:hAnsi="宋体" w:eastAsia="仿宋_GB2312" w:cs="宋体"/>
          <w:kern w:val="0"/>
          <w:sz w:val="32"/>
          <w:szCs w:val="32"/>
        </w:rPr>
      </w:pPr>
    </w:p>
    <w:p w14:paraId="76A8F4DD">
      <w:pPr>
        <w:spacing w:line="560" w:lineRule="exact"/>
        <w:ind w:firstLine="640" w:firstLineChars="200"/>
        <w:jc w:val="left"/>
        <w:rPr>
          <w:rFonts w:ascii="仿宋_GB2312" w:hAnsi="宋体" w:eastAsia="仿宋_GB2312" w:cs="宋体"/>
          <w:kern w:val="0"/>
          <w:sz w:val="32"/>
          <w:szCs w:val="32"/>
        </w:rPr>
      </w:pPr>
    </w:p>
    <w:p w14:paraId="588614B5">
      <w:pPr>
        <w:spacing w:line="560" w:lineRule="exact"/>
        <w:ind w:firstLine="640" w:firstLineChars="200"/>
        <w:jc w:val="left"/>
        <w:rPr>
          <w:rFonts w:ascii="仿宋_GB2312" w:hAnsi="宋体" w:eastAsia="仿宋_GB2312" w:cs="宋体"/>
          <w:kern w:val="0"/>
          <w:sz w:val="32"/>
          <w:szCs w:val="32"/>
        </w:rPr>
      </w:pPr>
    </w:p>
    <w:p w14:paraId="4EEEBDDF">
      <w:pPr>
        <w:spacing w:line="560" w:lineRule="exact"/>
        <w:ind w:firstLine="640" w:firstLineChars="200"/>
        <w:jc w:val="left"/>
        <w:rPr>
          <w:rFonts w:ascii="仿宋_GB2312" w:hAnsi="宋体" w:eastAsia="仿宋_GB2312" w:cs="宋体"/>
          <w:kern w:val="0"/>
          <w:sz w:val="32"/>
          <w:szCs w:val="32"/>
        </w:rPr>
      </w:pPr>
    </w:p>
    <w:p w14:paraId="032F75EA">
      <w:pPr>
        <w:spacing w:line="560" w:lineRule="exact"/>
        <w:ind w:firstLine="640" w:firstLineChars="200"/>
        <w:jc w:val="left"/>
        <w:rPr>
          <w:rFonts w:ascii="仿宋_GB2312" w:hAnsi="宋体" w:eastAsia="仿宋_GB2312" w:cs="宋体"/>
          <w:kern w:val="0"/>
          <w:sz w:val="32"/>
          <w:szCs w:val="32"/>
        </w:rPr>
      </w:pPr>
    </w:p>
    <w:p w14:paraId="1DA7FD67">
      <w:pPr>
        <w:spacing w:line="560" w:lineRule="exact"/>
        <w:ind w:firstLine="640" w:firstLineChars="200"/>
        <w:jc w:val="left"/>
        <w:rPr>
          <w:rFonts w:ascii="仿宋_GB2312" w:hAnsi="宋体" w:eastAsia="仿宋_GB2312" w:cs="宋体"/>
          <w:kern w:val="0"/>
          <w:sz w:val="32"/>
          <w:szCs w:val="32"/>
        </w:rPr>
      </w:pPr>
    </w:p>
    <w:p w14:paraId="44BC55C6">
      <w:pPr>
        <w:spacing w:line="560" w:lineRule="exact"/>
        <w:rPr>
          <w:rFonts w:ascii="仿宋" w:hAnsi="仿宋" w:eastAsia="仿宋" w:cs="仿宋"/>
          <w:color w:val="000000"/>
          <w:sz w:val="32"/>
          <w:szCs w:val="32"/>
        </w:rPr>
      </w:pPr>
    </w:p>
    <w:p w14:paraId="3AB9EC18">
      <w:pPr>
        <w:widowControl/>
        <w:spacing w:line="560" w:lineRule="exact"/>
        <w:ind w:right="-10"/>
        <w:rPr>
          <w:rFonts w:ascii="仿宋" w:hAnsi="仿宋" w:eastAsia="仿宋" w:cs="仿宋"/>
          <w:b/>
          <w:color w:val="000000"/>
          <w:kern w:val="0"/>
          <w:sz w:val="32"/>
          <w:szCs w:val="32"/>
        </w:rPr>
      </w:pPr>
      <w:r>
        <w:rPr>
          <w:rFonts w:hint="eastAsia" w:ascii="黑体" w:hAnsi="黑体" w:eastAsia="黑体" w:cs="黑体"/>
          <w:bCs/>
          <w:color w:val="000000"/>
          <w:kern w:val="0"/>
          <w:sz w:val="32"/>
          <w:szCs w:val="32"/>
        </w:rPr>
        <w:t>附件6</w:t>
      </w:r>
    </w:p>
    <w:p w14:paraId="6E45F03E">
      <w:pPr>
        <w:widowControl/>
        <w:spacing w:line="560" w:lineRule="exact"/>
        <w:ind w:right="-10"/>
        <w:jc w:val="center"/>
        <w:rPr>
          <w:rFonts w:ascii="仿宋" w:hAnsi="仿宋" w:eastAsia="仿宋" w:cs="仿宋"/>
          <w:b/>
          <w:color w:val="000000"/>
          <w:kern w:val="0"/>
          <w:sz w:val="32"/>
          <w:szCs w:val="32"/>
        </w:rPr>
      </w:pPr>
    </w:p>
    <w:p w14:paraId="2ED39259">
      <w:pPr>
        <w:widowControl/>
        <w:spacing w:line="560" w:lineRule="exact"/>
        <w:ind w:right="-10"/>
        <w:jc w:val="center"/>
        <w:rPr>
          <w:rFonts w:ascii="宋体" w:hAnsi="宋体" w:cs="宋体"/>
          <w:b/>
          <w:color w:val="000000"/>
          <w:kern w:val="0"/>
          <w:sz w:val="44"/>
          <w:szCs w:val="44"/>
        </w:rPr>
      </w:pPr>
      <w:r>
        <w:rPr>
          <w:rFonts w:hint="eastAsia" w:ascii="宋体" w:hAnsi="宋体" w:cs="宋体"/>
          <w:b/>
          <w:color w:val="000000"/>
          <w:kern w:val="0"/>
          <w:sz w:val="44"/>
          <w:szCs w:val="44"/>
        </w:rPr>
        <w:t>常州工业职业技术学院</w:t>
      </w:r>
    </w:p>
    <w:p w14:paraId="283B8809">
      <w:pPr>
        <w:widowControl/>
        <w:spacing w:line="560" w:lineRule="exact"/>
        <w:ind w:right="-10"/>
        <w:jc w:val="center"/>
        <w:rPr>
          <w:rFonts w:ascii="宋体" w:hAnsi="宋体" w:cs="宋体"/>
          <w:b/>
          <w:color w:val="000000"/>
          <w:kern w:val="0"/>
          <w:sz w:val="44"/>
          <w:szCs w:val="44"/>
        </w:rPr>
      </w:pPr>
      <w:r>
        <w:rPr>
          <w:rFonts w:hint="eastAsia" w:ascii="宋体" w:hAnsi="宋体" w:cs="宋体"/>
          <w:b/>
          <w:color w:val="000000"/>
          <w:kern w:val="0"/>
          <w:sz w:val="44"/>
          <w:szCs w:val="44"/>
        </w:rPr>
        <w:t>工勤系列奖励性绩效</w:t>
      </w:r>
      <w:r>
        <w:rPr>
          <w:rFonts w:hint="eastAsia" w:ascii="宋体" w:hAnsi="宋体" w:cs="宋体"/>
          <w:b/>
          <w:bCs/>
          <w:sz w:val="44"/>
          <w:szCs w:val="44"/>
          <w:lang w:val="en-US" w:eastAsia="zh-CN"/>
        </w:rPr>
        <w:t>工资</w:t>
      </w:r>
      <w:r>
        <w:rPr>
          <w:rFonts w:hint="eastAsia" w:ascii="宋体" w:hAnsi="宋体" w:cs="宋体"/>
          <w:b/>
          <w:color w:val="000000"/>
          <w:kern w:val="0"/>
          <w:sz w:val="44"/>
          <w:szCs w:val="44"/>
        </w:rPr>
        <w:t>实施办法</w:t>
      </w:r>
    </w:p>
    <w:p w14:paraId="75D245F3">
      <w:pPr>
        <w:widowControl/>
        <w:spacing w:line="560" w:lineRule="exact"/>
        <w:ind w:right="-11" w:firstLine="640" w:firstLineChars="200"/>
        <w:jc w:val="left"/>
        <w:rPr>
          <w:rFonts w:ascii="仿宋" w:hAnsi="仿宋" w:eastAsia="仿宋" w:cs="仿宋"/>
          <w:kern w:val="0"/>
          <w:sz w:val="32"/>
          <w:szCs w:val="32"/>
        </w:rPr>
      </w:pPr>
    </w:p>
    <w:p w14:paraId="02CE9B0D">
      <w:pPr>
        <w:widowControl/>
        <w:spacing w:line="560" w:lineRule="exact"/>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享受技术工类奖励性绩效</w:t>
      </w:r>
      <w:r>
        <w:rPr>
          <w:rFonts w:hint="eastAsia" w:ascii="仿宋" w:hAnsi="仿宋" w:eastAsia="仿宋" w:cs="仿宋"/>
          <w:kern w:val="0"/>
          <w:sz w:val="32"/>
          <w:szCs w:val="32"/>
          <w:lang w:val="en-US" w:eastAsia="zh-CN"/>
        </w:rPr>
        <w:t>工资</w:t>
      </w:r>
      <w:r>
        <w:rPr>
          <w:rFonts w:hint="eastAsia" w:ascii="仿宋" w:hAnsi="仿宋" w:eastAsia="仿宋" w:cs="仿宋"/>
          <w:kern w:val="0"/>
          <w:sz w:val="32"/>
          <w:szCs w:val="32"/>
        </w:rPr>
        <w:t>的人员为:受聘到技术工人及普通工人岗位工作的在编在岗、人事代理在岗人员。</w:t>
      </w:r>
    </w:p>
    <w:p w14:paraId="1123F0F6">
      <w:pPr>
        <w:widowControl/>
        <w:spacing w:line="560" w:lineRule="exact"/>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工勤系列人员应遵纪守法，具有良好的政治思想素质，恪守职业道德，熟悉业务，劳动态度端正，身体健康，能履行和胜任所在岗位的工作。</w:t>
      </w:r>
    </w:p>
    <w:p w14:paraId="3FC5FF79">
      <w:pPr>
        <w:widowControl/>
        <w:spacing w:line="560" w:lineRule="exact"/>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工勤系列奖励性绩效</w:t>
      </w:r>
      <w:r>
        <w:rPr>
          <w:rFonts w:hint="eastAsia" w:ascii="仿宋" w:hAnsi="仿宋" w:eastAsia="仿宋" w:cs="仿宋"/>
          <w:kern w:val="0"/>
          <w:sz w:val="32"/>
          <w:szCs w:val="32"/>
          <w:lang w:val="en-US" w:eastAsia="zh-CN"/>
        </w:rPr>
        <w:t>工资</w:t>
      </w:r>
      <w:r>
        <w:rPr>
          <w:rFonts w:hint="eastAsia" w:ascii="仿宋" w:hAnsi="仿宋" w:eastAsia="仿宋" w:cs="仿宋"/>
          <w:kern w:val="0"/>
          <w:sz w:val="32"/>
          <w:szCs w:val="32"/>
        </w:rPr>
        <w:t>实施办法如下:</w:t>
      </w:r>
    </w:p>
    <w:p w14:paraId="1EBF6C37">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一、六档　技术工一级</w:t>
      </w:r>
    </w:p>
    <w:p w14:paraId="0EF9CF32">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1.高级技师任职</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年）以上, 本职级任职，年度考核合格；</w:t>
      </w:r>
    </w:p>
    <w:p w14:paraId="3F1FCBC8">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2.具备高级技师资格，本职级任职，任期内获得过市级以上政府部门表彰，或市级以上技术比赛前三名，或省级以上技术比赛前六名，年度考核合格。</w:t>
      </w:r>
    </w:p>
    <w:p w14:paraId="7D7B1735">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二、七档  技术工一级</w:t>
      </w:r>
    </w:p>
    <w:p w14:paraId="6EE34076">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1.高级技师任职</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年）以上, 本职级任职，年度考核合</w:t>
      </w:r>
      <w:r>
        <w:rPr>
          <w:rFonts w:hint="eastAsia" w:ascii="仿宋" w:hAnsi="仿宋" w:eastAsia="仿宋" w:cs="仿宋"/>
          <w:sz w:val="32"/>
          <w:szCs w:val="32"/>
        </w:rPr>
        <w:t>格；</w:t>
      </w:r>
    </w:p>
    <w:p w14:paraId="50EA0BB1">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2.具备</w:t>
      </w:r>
      <w:r>
        <w:rPr>
          <w:rFonts w:hint="eastAsia" w:ascii="仿宋" w:hAnsi="仿宋" w:eastAsia="仿宋" w:cs="仿宋"/>
          <w:kern w:val="0"/>
          <w:sz w:val="32"/>
          <w:szCs w:val="32"/>
        </w:rPr>
        <w:t>高级技师资格，本职级任职, 任期内获得市级以上技术比赛前五名，或聘期内获得过学院及以上政府部门表彰，年度考核合格。</w:t>
      </w:r>
    </w:p>
    <w:p w14:paraId="1C1C67BD">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三、八档  技术工一级/技术工二级</w:t>
      </w:r>
    </w:p>
    <w:p w14:paraId="24AD6403">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1.具备高级技师资格，或技师资格任职</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 xml:space="preserve">年）以上，本职级任职，年度考核合格；   </w:t>
      </w:r>
    </w:p>
    <w:p w14:paraId="143D67CA">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2.具备技师资格，本职级任职，任期内获得过市级以上技术比赛前三名，或省级以上技术比赛前六名，或聘期内获得过二次学院及以上政府部门表彰，年度考核合格。</w:t>
      </w:r>
    </w:p>
    <w:p w14:paraId="3439958A">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四、九档  技术工二级</w:t>
      </w:r>
    </w:p>
    <w:p w14:paraId="40CA8EA7">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1.技师任职</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年）以上, 本职级任职，年度考核合格；</w:t>
      </w:r>
    </w:p>
    <w:p w14:paraId="680AC9B9">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2.具备技师资格，本职级任职, 任期内获得市级以上技术比赛前五名，或聘期内获得过学院及以上政府部门表彰，年度考核合格。</w:t>
      </w:r>
    </w:p>
    <w:p w14:paraId="2A0228B4">
      <w:pPr>
        <w:spacing w:line="560" w:lineRule="exact"/>
        <w:ind w:right="-10" w:firstLine="640" w:firstLineChars="200"/>
        <w:jc w:val="left"/>
        <w:rPr>
          <w:rFonts w:ascii="仿宋" w:hAnsi="仿宋" w:eastAsia="黑体" w:cs="仿宋"/>
          <w:b/>
          <w:kern w:val="0"/>
          <w:sz w:val="32"/>
          <w:szCs w:val="32"/>
        </w:rPr>
      </w:pPr>
      <w:r>
        <w:rPr>
          <w:rFonts w:hint="eastAsia" w:ascii="黑体" w:hAnsi="黑体" w:eastAsia="黑体" w:cs="黑体"/>
          <w:bCs/>
          <w:kern w:val="0"/>
          <w:sz w:val="32"/>
          <w:szCs w:val="32"/>
        </w:rPr>
        <w:t>五、十档  技术工二级/技术工三级</w:t>
      </w:r>
    </w:p>
    <w:p w14:paraId="10DF38D3">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1.具备技师资格，或高级工资格任职</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年）以上，本职级任职，年度考核合格；</w:t>
      </w:r>
    </w:p>
    <w:p w14:paraId="12789442">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2.具备高级工资格，本职级任职，任期内获得过市级以上政府部门表彰，或市级以上技术比赛前三名，或省级以上技术比赛前六名，年度考核合格。</w:t>
      </w:r>
    </w:p>
    <w:p w14:paraId="5E28974D">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六、十一档  技术工三级</w:t>
      </w:r>
    </w:p>
    <w:p w14:paraId="0F72A5EE">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1.高级工任职</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年）以上, 本职级任职，年度考核合格；</w:t>
      </w:r>
    </w:p>
    <w:p w14:paraId="0997D8C9">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2.具备高级工资格，本职级任职, 任期内获得市级以上技术比赛前五名，或聘期内获得过学院及以上政府部门表彰，年度考核合格。</w:t>
      </w:r>
    </w:p>
    <w:p w14:paraId="4C114079">
      <w:pPr>
        <w:spacing w:line="560" w:lineRule="exact"/>
        <w:ind w:right="-10" w:firstLine="426"/>
        <w:jc w:val="left"/>
        <w:rPr>
          <w:rFonts w:ascii="仿宋" w:hAnsi="仿宋" w:eastAsia="黑体" w:cs="仿宋"/>
          <w:b/>
          <w:kern w:val="0"/>
          <w:sz w:val="32"/>
          <w:szCs w:val="32"/>
        </w:rPr>
      </w:pPr>
      <w:r>
        <w:rPr>
          <w:rFonts w:hint="eastAsia" w:ascii="黑体" w:hAnsi="黑体" w:eastAsia="黑体" w:cs="黑体"/>
          <w:bCs/>
          <w:kern w:val="0"/>
          <w:sz w:val="32"/>
          <w:szCs w:val="32"/>
        </w:rPr>
        <w:t>七、十二档  技术工三级/技术工四级</w:t>
      </w:r>
    </w:p>
    <w:p w14:paraId="37276664">
      <w:pPr>
        <w:widowControl/>
        <w:spacing w:line="560" w:lineRule="exact"/>
        <w:ind w:right="-10" w:firstLine="426"/>
        <w:jc w:val="left"/>
        <w:rPr>
          <w:rFonts w:ascii="仿宋" w:hAnsi="仿宋" w:eastAsia="仿宋" w:cs="仿宋"/>
          <w:kern w:val="0"/>
          <w:sz w:val="32"/>
          <w:szCs w:val="32"/>
        </w:rPr>
      </w:pPr>
      <w:r>
        <w:rPr>
          <w:rFonts w:hint="eastAsia" w:ascii="仿宋" w:hAnsi="仿宋" w:eastAsia="仿宋" w:cs="仿宋"/>
          <w:kern w:val="0"/>
          <w:sz w:val="32"/>
          <w:szCs w:val="32"/>
        </w:rPr>
        <w:t>1.具备高级工资格，或中级工资格任职</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年（含</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 xml:space="preserve">年）以上，本职级任职，年度考核合格；  </w:t>
      </w:r>
    </w:p>
    <w:p w14:paraId="5EC7FC82">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2.具备中级工资格，本职级任职，聘期内获学院及以上政府部门表彰，年度考核合格。</w:t>
      </w:r>
    </w:p>
    <w:p w14:paraId="789A487E">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八、十三档  技术工四级</w:t>
      </w:r>
    </w:p>
    <w:p w14:paraId="4FCDD73C">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具备中级工资格，年度考核合格。</w:t>
      </w:r>
    </w:p>
    <w:p w14:paraId="0F7E3497">
      <w:pPr>
        <w:spacing w:line="560" w:lineRule="exact"/>
        <w:ind w:right="-10"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 xml:space="preserve">九、十四档  技术工五级 </w:t>
      </w:r>
    </w:p>
    <w:p w14:paraId="3A7F6DC0">
      <w:pPr>
        <w:widowControl/>
        <w:spacing w:line="560" w:lineRule="exact"/>
        <w:ind w:right="-10"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1.具备初级工资格，年度考核合格；   </w:t>
      </w:r>
    </w:p>
    <w:p w14:paraId="0467BB2F">
      <w:pPr>
        <w:widowControl/>
        <w:spacing w:line="560" w:lineRule="exact"/>
        <w:ind w:right="-10" w:firstLine="640" w:firstLineChars="200"/>
        <w:rPr>
          <w:rFonts w:ascii="仿宋" w:hAnsi="仿宋" w:eastAsia="仿宋" w:cs="仿宋"/>
          <w:kern w:val="0"/>
          <w:sz w:val="32"/>
          <w:szCs w:val="32"/>
        </w:rPr>
      </w:pPr>
      <w:r>
        <w:rPr>
          <w:rFonts w:hint="eastAsia" w:ascii="仿宋" w:hAnsi="仿宋" w:eastAsia="仿宋" w:cs="仿宋"/>
          <w:kern w:val="0"/>
          <w:sz w:val="32"/>
          <w:szCs w:val="32"/>
        </w:rPr>
        <w:t>2.普通工工作</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年以上。</w:t>
      </w:r>
    </w:p>
    <w:p w14:paraId="48E43092">
      <w:pPr>
        <w:widowControl/>
        <w:spacing w:line="560" w:lineRule="exact"/>
        <w:ind w:right="-10" w:firstLine="640" w:firstLineChars="200"/>
        <w:rPr>
          <w:rFonts w:ascii="仿宋" w:hAnsi="仿宋" w:eastAsia="仿宋" w:cs="仿宋"/>
          <w:kern w:val="0"/>
          <w:sz w:val="32"/>
          <w:szCs w:val="32"/>
        </w:rPr>
      </w:pPr>
      <w:r>
        <w:rPr>
          <w:rFonts w:hint="eastAsia" w:ascii="仿宋" w:hAnsi="仿宋" w:eastAsia="仿宋" w:cs="仿宋"/>
          <w:kern w:val="0"/>
          <w:sz w:val="32"/>
          <w:szCs w:val="32"/>
        </w:rPr>
        <w:t>考虑到工勤人员实行考级工作较晚，故对工龄满</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年者可高靠一档。</w:t>
      </w:r>
    </w:p>
    <w:p w14:paraId="1A057731">
      <w:pPr>
        <w:spacing w:line="560" w:lineRule="exact"/>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49443050">
      <w:pPr>
        <w:spacing w:line="56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D7811"/>
    <w:multiLevelType w:val="singleLevel"/>
    <w:tmpl w:val="FE8D7811"/>
    <w:lvl w:ilvl="0" w:tentative="0">
      <w:start w:val="6"/>
      <w:numFmt w:val="chineseCounting"/>
      <w:suff w:val="nothing"/>
      <w:lvlText w:val="%1、"/>
      <w:lvlJc w:val="left"/>
      <w:rPr>
        <w:rFonts w:hint="eastAsia"/>
      </w:rPr>
    </w:lvl>
  </w:abstractNum>
  <w:abstractNum w:abstractNumId="1">
    <w:nsid w:val="060042D8"/>
    <w:multiLevelType w:val="singleLevel"/>
    <w:tmpl w:val="060042D8"/>
    <w:lvl w:ilvl="0" w:tentative="0">
      <w:start w:val="2"/>
      <w:numFmt w:val="decimal"/>
      <w:suff w:val="nothing"/>
      <w:lvlText w:val="%1、"/>
      <w:lvlJc w:val="left"/>
    </w:lvl>
  </w:abstractNum>
  <w:abstractNum w:abstractNumId="2">
    <w:nsid w:val="3CE4B29E"/>
    <w:multiLevelType w:val="singleLevel"/>
    <w:tmpl w:val="3CE4B29E"/>
    <w:lvl w:ilvl="0" w:tentative="0">
      <w:start w:val="1"/>
      <w:numFmt w:val="decimal"/>
      <w:suff w:val="nothing"/>
      <w:lvlText w:val="%1、"/>
      <w:lvlJc w:val="left"/>
    </w:lvl>
  </w:abstractNum>
  <w:abstractNum w:abstractNumId="3">
    <w:nsid w:val="4F34AAA2"/>
    <w:multiLevelType w:val="singleLevel"/>
    <w:tmpl w:val="4F34AAA2"/>
    <w:lvl w:ilvl="0" w:tentative="0">
      <w:start w:val="2"/>
      <w:numFmt w:val="decimal"/>
      <w:suff w:val="nothing"/>
      <w:lvlText w:val="（%1）"/>
      <w:lvlJc w:val="left"/>
      <w:rPr>
        <w:color w:val="auto"/>
      </w:rPr>
    </w:lvl>
  </w:abstractNum>
  <w:abstractNum w:abstractNumId="4">
    <w:nsid w:val="719907C7"/>
    <w:multiLevelType w:val="singleLevel"/>
    <w:tmpl w:val="719907C7"/>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MDQ4MGY1Zjg3NGFmNWI5MzI0ZDExNTc4NjQyMjgifQ=="/>
  </w:docVars>
  <w:rsids>
    <w:rsidRoot w:val="25B8569A"/>
    <w:rsid w:val="00082CBF"/>
    <w:rsid w:val="002B266E"/>
    <w:rsid w:val="003B5D42"/>
    <w:rsid w:val="00571891"/>
    <w:rsid w:val="00AA7F13"/>
    <w:rsid w:val="00C17473"/>
    <w:rsid w:val="00DE2BA4"/>
    <w:rsid w:val="00DE7025"/>
    <w:rsid w:val="00E10AE9"/>
    <w:rsid w:val="00EE123A"/>
    <w:rsid w:val="00FF3CFC"/>
    <w:rsid w:val="012A0CA0"/>
    <w:rsid w:val="01BE4DA9"/>
    <w:rsid w:val="01BE5FEE"/>
    <w:rsid w:val="01CF1530"/>
    <w:rsid w:val="023F1D56"/>
    <w:rsid w:val="02CE1CF4"/>
    <w:rsid w:val="03037AA1"/>
    <w:rsid w:val="0312324F"/>
    <w:rsid w:val="032064E7"/>
    <w:rsid w:val="033310AF"/>
    <w:rsid w:val="03B9349F"/>
    <w:rsid w:val="046153AB"/>
    <w:rsid w:val="055B6342"/>
    <w:rsid w:val="05CA69C2"/>
    <w:rsid w:val="05DC60D7"/>
    <w:rsid w:val="062A343F"/>
    <w:rsid w:val="0687062B"/>
    <w:rsid w:val="07C577A9"/>
    <w:rsid w:val="08266468"/>
    <w:rsid w:val="08535CDD"/>
    <w:rsid w:val="09D92F4C"/>
    <w:rsid w:val="09EC14DA"/>
    <w:rsid w:val="0A72067E"/>
    <w:rsid w:val="0AC47FB6"/>
    <w:rsid w:val="0AFD0149"/>
    <w:rsid w:val="0B73581A"/>
    <w:rsid w:val="0BE45BD8"/>
    <w:rsid w:val="0C4C3EA9"/>
    <w:rsid w:val="0D072FB1"/>
    <w:rsid w:val="0D927FCE"/>
    <w:rsid w:val="0DC75D1D"/>
    <w:rsid w:val="0E0C0C9B"/>
    <w:rsid w:val="11396950"/>
    <w:rsid w:val="121A5F3C"/>
    <w:rsid w:val="129C545E"/>
    <w:rsid w:val="12A06CFD"/>
    <w:rsid w:val="12A82D3D"/>
    <w:rsid w:val="12BF3729"/>
    <w:rsid w:val="138A175B"/>
    <w:rsid w:val="13980A5A"/>
    <w:rsid w:val="13BE2AA5"/>
    <w:rsid w:val="13EC1FBB"/>
    <w:rsid w:val="140B63F8"/>
    <w:rsid w:val="14223C93"/>
    <w:rsid w:val="15F555B1"/>
    <w:rsid w:val="16082FC8"/>
    <w:rsid w:val="18272B1C"/>
    <w:rsid w:val="19FF69FF"/>
    <w:rsid w:val="1A1104E0"/>
    <w:rsid w:val="1A212A9A"/>
    <w:rsid w:val="1A584E4B"/>
    <w:rsid w:val="1B5B65FA"/>
    <w:rsid w:val="1B6E1CB8"/>
    <w:rsid w:val="1BC17CE4"/>
    <w:rsid w:val="1C6F65D3"/>
    <w:rsid w:val="1CEE2F53"/>
    <w:rsid w:val="1E6D1C10"/>
    <w:rsid w:val="1E6D6028"/>
    <w:rsid w:val="1EAB0E6E"/>
    <w:rsid w:val="1EAB3D84"/>
    <w:rsid w:val="1FB477C3"/>
    <w:rsid w:val="224D2D97"/>
    <w:rsid w:val="22A7138F"/>
    <w:rsid w:val="22CC769A"/>
    <w:rsid w:val="2313388F"/>
    <w:rsid w:val="235023FC"/>
    <w:rsid w:val="241E2A1A"/>
    <w:rsid w:val="256228AF"/>
    <w:rsid w:val="25B8569A"/>
    <w:rsid w:val="26CA158E"/>
    <w:rsid w:val="26DD4033"/>
    <w:rsid w:val="27247C53"/>
    <w:rsid w:val="273656BF"/>
    <w:rsid w:val="27CE71FB"/>
    <w:rsid w:val="27E010E2"/>
    <w:rsid w:val="2A74096D"/>
    <w:rsid w:val="2D2322EF"/>
    <w:rsid w:val="2DD53BA8"/>
    <w:rsid w:val="2F2D7470"/>
    <w:rsid w:val="2F4B1946"/>
    <w:rsid w:val="31080137"/>
    <w:rsid w:val="317E4143"/>
    <w:rsid w:val="31C47AC6"/>
    <w:rsid w:val="31EE089B"/>
    <w:rsid w:val="32047BF9"/>
    <w:rsid w:val="3353526D"/>
    <w:rsid w:val="3425315A"/>
    <w:rsid w:val="34CA2153"/>
    <w:rsid w:val="35C11B10"/>
    <w:rsid w:val="35E4751E"/>
    <w:rsid w:val="363F5453"/>
    <w:rsid w:val="37803C09"/>
    <w:rsid w:val="381476C1"/>
    <w:rsid w:val="393E28D8"/>
    <w:rsid w:val="397F18BA"/>
    <w:rsid w:val="3AA600DE"/>
    <w:rsid w:val="3AC861D1"/>
    <w:rsid w:val="3B067ACA"/>
    <w:rsid w:val="3E493D78"/>
    <w:rsid w:val="3E943370"/>
    <w:rsid w:val="3ED5085F"/>
    <w:rsid w:val="3F1717B3"/>
    <w:rsid w:val="3F2965BA"/>
    <w:rsid w:val="3F9B0D54"/>
    <w:rsid w:val="401C7C6C"/>
    <w:rsid w:val="402B59B5"/>
    <w:rsid w:val="40D07C6D"/>
    <w:rsid w:val="41235440"/>
    <w:rsid w:val="41D70F57"/>
    <w:rsid w:val="42091BB3"/>
    <w:rsid w:val="42D85FA8"/>
    <w:rsid w:val="435B38C4"/>
    <w:rsid w:val="43B1560B"/>
    <w:rsid w:val="440D5DFC"/>
    <w:rsid w:val="449B49DA"/>
    <w:rsid w:val="45EB3453"/>
    <w:rsid w:val="463E1211"/>
    <w:rsid w:val="46AA6EC8"/>
    <w:rsid w:val="47817BC1"/>
    <w:rsid w:val="47BF40D6"/>
    <w:rsid w:val="47EE2EA3"/>
    <w:rsid w:val="484423BF"/>
    <w:rsid w:val="488D032E"/>
    <w:rsid w:val="49713F12"/>
    <w:rsid w:val="49B06B1E"/>
    <w:rsid w:val="4A2D1702"/>
    <w:rsid w:val="4A4014C0"/>
    <w:rsid w:val="4AA94666"/>
    <w:rsid w:val="4B5B7B05"/>
    <w:rsid w:val="4B8365A4"/>
    <w:rsid w:val="4B8F3F58"/>
    <w:rsid w:val="4B920F7A"/>
    <w:rsid w:val="4B94301A"/>
    <w:rsid w:val="4C2E39BF"/>
    <w:rsid w:val="4C431ECB"/>
    <w:rsid w:val="4C98025A"/>
    <w:rsid w:val="4E3C5889"/>
    <w:rsid w:val="4EC66A01"/>
    <w:rsid w:val="4FF10DF4"/>
    <w:rsid w:val="50447FC0"/>
    <w:rsid w:val="512060AF"/>
    <w:rsid w:val="51614724"/>
    <w:rsid w:val="5231143D"/>
    <w:rsid w:val="528366E1"/>
    <w:rsid w:val="534454E7"/>
    <w:rsid w:val="539A4AC7"/>
    <w:rsid w:val="53A25BC0"/>
    <w:rsid w:val="53D66E70"/>
    <w:rsid w:val="540B51FB"/>
    <w:rsid w:val="54361800"/>
    <w:rsid w:val="557F2182"/>
    <w:rsid w:val="55A16D1C"/>
    <w:rsid w:val="55D342C0"/>
    <w:rsid w:val="55F64669"/>
    <w:rsid w:val="566C6CFA"/>
    <w:rsid w:val="56AD5C34"/>
    <w:rsid w:val="57DC242D"/>
    <w:rsid w:val="582C1E58"/>
    <w:rsid w:val="58D40CFA"/>
    <w:rsid w:val="58D9073B"/>
    <w:rsid w:val="59116EBF"/>
    <w:rsid w:val="5AA22A12"/>
    <w:rsid w:val="5BB16968"/>
    <w:rsid w:val="5BEC60DC"/>
    <w:rsid w:val="5DA14CA4"/>
    <w:rsid w:val="5E365D17"/>
    <w:rsid w:val="5E96388F"/>
    <w:rsid w:val="5F381B10"/>
    <w:rsid w:val="5FDB2C0D"/>
    <w:rsid w:val="603F692C"/>
    <w:rsid w:val="60A86A0D"/>
    <w:rsid w:val="60B07A05"/>
    <w:rsid w:val="60EF30AC"/>
    <w:rsid w:val="61E6537B"/>
    <w:rsid w:val="624E291A"/>
    <w:rsid w:val="62A1720A"/>
    <w:rsid w:val="62BF61C6"/>
    <w:rsid w:val="63A97AB7"/>
    <w:rsid w:val="647E7AED"/>
    <w:rsid w:val="64F47DAF"/>
    <w:rsid w:val="65D85E53"/>
    <w:rsid w:val="661A3CF4"/>
    <w:rsid w:val="663463FB"/>
    <w:rsid w:val="66442670"/>
    <w:rsid w:val="667B78CA"/>
    <w:rsid w:val="68185DB0"/>
    <w:rsid w:val="685B753A"/>
    <w:rsid w:val="68890DEB"/>
    <w:rsid w:val="68A53E66"/>
    <w:rsid w:val="68A660EC"/>
    <w:rsid w:val="69E84F30"/>
    <w:rsid w:val="6A685F5F"/>
    <w:rsid w:val="6B031A20"/>
    <w:rsid w:val="6BAD2A66"/>
    <w:rsid w:val="6C302310"/>
    <w:rsid w:val="6C5C7F69"/>
    <w:rsid w:val="6C6153F8"/>
    <w:rsid w:val="6CA54AFD"/>
    <w:rsid w:val="6CD01622"/>
    <w:rsid w:val="6CD410E9"/>
    <w:rsid w:val="6D036096"/>
    <w:rsid w:val="6DC15FA2"/>
    <w:rsid w:val="6E880E8E"/>
    <w:rsid w:val="6EFB6F35"/>
    <w:rsid w:val="6FEC5BED"/>
    <w:rsid w:val="70B51348"/>
    <w:rsid w:val="72321CC3"/>
    <w:rsid w:val="73474B20"/>
    <w:rsid w:val="7361625F"/>
    <w:rsid w:val="749B4A7E"/>
    <w:rsid w:val="75270E4A"/>
    <w:rsid w:val="76142A12"/>
    <w:rsid w:val="76445AF9"/>
    <w:rsid w:val="767D1B61"/>
    <w:rsid w:val="76D3133D"/>
    <w:rsid w:val="774E77F3"/>
    <w:rsid w:val="778238FB"/>
    <w:rsid w:val="77C803D3"/>
    <w:rsid w:val="78361BB5"/>
    <w:rsid w:val="784F670F"/>
    <w:rsid w:val="79085F88"/>
    <w:rsid w:val="7937562D"/>
    <w:rsid w:val="79677CA1"/>
    <w:rsid w:val="7A023A3D"/>
    <w:rsid w:val="7AB743E4"/>
    <w:rsid w:val="7ADF7527"/>
    <w:rsid w:val="7B2E6262"/>
    <w:rsid w:val="7B4B123C"/>
    <w:rsid w:val="7BA619AB"/>
    <w:rsid w:val="7C2E39C6"/>
    <w:rsid w:val="7C8D2B6B"/>
    <w:rsid w:val="7CC37974"/>
    <w:rsid w:val="7E5F1742"/>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10493</Words>
  <Characters>10704</Characters>
  <Lines>86</Lines>
  <Paragraphs>24</Paragraphs>
  <TotalTime>1</TotalTime>
  <ScaleCrop>false</ScaleCrop>
  <LinksUpToDate>false</LinksUpToDate>
  <CharactersWithSpaces>10837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2024-08-07T02:23:00Z</dcterms:created>
  <dc:creator>User</dc:creator>
  <cp:lastModifiedBy>余美芳</cp:lastModifiedBy>
  <dcterms:modified xsi:type="dcterms:W3CDTF">2024-10-31T08:29:29Z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4272DF3B26E74BA0BA0E981EDB0ED4C1_13</vt:lpwstr>
  </property>
</Properties>
</file>